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9358" w14:textId="77777777" w:rsidR="0060520F" w:rsidRPr="009F49E7" w:rsidRDefault="0060520F" w:rsidP="009F49E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9F49E7">
        <w:rPr>
          <w:b/>
          <w:bCs/>
          <w:sz w:val="28"/>
          <w:szCs w:val="28"/>
          <w:u w:val="single"/>
        </w:rPr>
        <w:t>NAAC DVV CLARIFICATIONS</w:t>
      </w:r>
    </w:p>
    <w:p w14:paraId="7D9064FC" w14:textId="380548C7" w:rsidR="009F49E7" w:rsidRPr="00A54EA1" w:rsidRDefault="009F49E7" w:rsidP="009F49E7">
      <w:pPr>
        <w:spacing w:after="15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3.7.2 </w:t>
      </w:r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Number of functional </w:t>
      </w:r>
      <w:proofErr w:type="spellStart"/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MoUs</w:t>
      </w:r>
      <w:proofErr w:type="spellEnd"/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 with institutions of national, international importance, other institutions, industries, corporate</w:t>
      </w:r>
      <w:r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  </w:t>
      </w:r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houses etc. during the last five years (only functional </w:t>
      </w:r>
      <w:proofErr w:type="spellStart"/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MoUs</w:t>
      </w:r>
      <w:proofErr w:type="spellEnd"/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 xml:space="preserve"> with</w:t>
      </w:r>
      <w:r w:rsidRPr="00A54EA1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  </w:t>
      </w:r>
      <w:r w:rsidRPr="00A54EA1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ongoing activities to be considered)</w:t>
      </w:r>
    </w:p>
    <w:p w14:paraId="6B317FDE" w14:textId="5AC0E97C" w:rsidR="002909A1" w:rsidRDefault="002909A1" w:rsidP="009F49E7">
      <w:pPr>
        <w:spacing w:after="120" w:line="240" w:lineRule="auto"/>
        <w:jc w:val="both"/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</w:pPr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3.7.2</w:t>
      </w:r>
      <w:r w:rsidR="009F49E7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.1</w:t>
      </w:r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 xml:space="preserve"> Number of functional </w:t>
      </w:r>
      <w:proofErr w:type="spellStart"/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MoUs</w:t>
      </w:r>
      <w:proofErr w:type="spellEnd"/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 xml:space="preserve"> with institutions of national, international importance, other universities,  industries,  corporate houses etc. during the last five years (only functional </w:t>
      </w:r>
      <w:proofErr w:type="spellStart"/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MoUs</w:t>
      </w:r>
      <w:proofErr w:type="spellEnd"/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 xml:space="preserve"> with ongoing activities to be considered)</w:t>
      </w:r>
      <w:r w:rsidR="00FC6708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 xml:space="preserve"> </w:t>
      </w:r>
      <w:r w:rsidRPr="002909A1">
        <w:rPr>
          <w:rFonts w:ascii="Tahoma" w:eastAsia="Times New Roman" w:hAnsi="Tahoma" w:cs="Tahoma"/>
          <w:b/>
          <w:color w:val="333333"/>
          <w:sz w:val="18"/>
          <w:szCs w:val="18"/>
          <w:lang w:eastAsia="en-IN"/>
        </w:rPr>
        <w:t>(10) during the last five years.</w:t>
      </w:r>
    </w:p>
    <w:p w14:paraId="4AA91680" w14:textId="77777777" w:rsidR="0060520F" w:rsidRDefault="0060520F" w:rsidP="003A4C13">
      <w:pPr>
        <w:spacing w:after="120" w:line="240" w:lineRule="auto"/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HEI Input:</w:t>
      </w:r>
    </w:p>
    <w:tbl>
      <w:tblPr>
        <w:tblStyle w:val="TableGrid"/>
        <w:tblW w:w="4879" w:type="pct"/>
        <w:tblLook w:val="04A0" w:firstRow="1" w:lastRow="0" w:firstColumn="1" w:lastColumn="0" w:noHBand="0" w:noVBand="1"/>
      </w:tblPr>
      <w:tblGrid>
        <w:gridCol w:w="1802"/>
        <w:gridCol w:w="1804"/>
        <w:gridCol w:w="1804"/>
        <w:gridCol w:w="1804"/>
        <w:gridCol w:w="1804"/>
      </w:tblGrid>
      <w:tr w:rsidR="008D37DE" w:rsidRPr="00A4209F" w14:paraId="744D9A80" w14:textId="77777777" w:rsidTr="003A4C13">
        <w:trPr>
          <w:trHeight w:val="427"/>
        </w:trPr>
        <w:tc>
          <w:tcPr>
            <w:tcW w:w="999" w:type="pct"/>
            <w:vAlign w:val="center"/>
          </w:tcPr>
          <w:p w14:paraId="53D10045" w14:textId="77777777" w:rsidR="008D37DE" w:rsidRPr="00FC6708" w:rsidRDefault="008D37DE" w:rsidP="003A4C13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en-IN"/>
              </w:rPr>
            </w:pPr>
            <w:r w:rsidRPr="00FC6708">
              <w:rPr>
                <w:rFonts w:ascii="Tahoma" w:eastAsia="Times New Roman" w:hAnsi="Tahoma" w:cs="Tahoma"/>
                <w:lang w:eastAsia="en-IN"/>
              </w:rPr>
              <w:t>2021-22</w:t>
            </w:r>
          </w:p>
        </w:tc>
        <w:tc>
          <w:tcPr>
            <w:tcW w:w="1000" w:type="pct"/>
            <w:vAlign w:val="center"/>
          </w:tcPr>
          <w:p w14:paraId="140433C1" w14:textId="77777777" w:rsidR="008D37DE" w:rsidRPr="00FC6708" w:rsidRDefault="008D37DE" w:rsidP="003A4C13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en-IN"/>
              </w:rPr>
            </w:pPr>
            <w:r w:rsidRPr="00FC6708">
              <w:rPr>
                <w:rFonts w:ascii="Tahoma" w:eastAsia="Times New Roman" w:hAnsi="Tahoma" w:cs="Tahoma"/>
                <w:lang w:eastAsia="en-IN"/>
              </w:rPr>
              <w:t>2020-21</w:t>
            </w:r>
          </w:p>
        </w:tc>
        <w:tc>
          <w:tcPr>
            <w:tcW w:w="1000" w:type="pct"/>
            <w:vAlign w:val="center"/>
          </w:tcPr>
          <w:p w14:paraId="0042410B" w14:textId="77777777" w:rsidR="008D37DE" w:rsidRPr="00FC6708" w:rsidRDefault="008D37DE" w:rsidP="003A4C13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en-IN"/>
              </w:rPr>
            </w:pPr>
            <w:r w:rsidRPr="00FC6708">
              <w:rPr>
                <w:rFonts w:ascii="Tahoma" w:eastAsia="Times New Roman" w:hAnsi="Tahoma" w:cs="Tahoma"/>
                <w:lang w:eastAsia="en-IN"/>
              </w:rPr>
              <w:t>2019-20</w:t>
            </w:r>
          </w:p>
        </w:tc>
        <w:tc>
          <w:tcPr>
            <w:tcW w:w="1000" w:type="pct"/>
            <w:vAlign w:val="center"/>
          </w:tcPr>
          <w:p w14:paraId="08C5F2E1" w14:textId="77777777" w:rsidR="008D37DE" w:rsidRPr="00FC6708" w:rsidRDefault="008D37DE" w:rsidP="003A4C13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en-IN"/>
              </w:rPr>
            </w:pPr>
            <w:r w:rsidRPr="00FC6708">
              <w:rPr>
                <w:rFonts w:ascii="Tahoma" w:eastAsia="Times New Roman" w:hAnsi="Tahoma" w:cs="Tahoma"/>
                <w:lang w:eastAsia="en-IN"/>
              </w:rPr>
              <w:t>2018-19</w:t>
            </w:r>
          </w:p>
        </w:tc>
        <w:tc>
          <w:tcPr>
            <w:tcW w:w="1000" w:type="pct"/>
            <w:vAlign w:val="center"/>
          </w:tcPr>
          <w:p w14:paraId="2D0357D7" w14:textId="77777777" w:rsidR="008D37DE" w:rsidRPr="00FC6708" w:rsidRDefault="008D37DE" w:rsidP="003A4C13">
            <w:pPr>
              <w:jc w:val="center"/>
              <w:rPr>
                <w:rFonts w:ascii="Tahoma" w:eastAsia="Times New Roman" w:hAnsi="Tahoma" w:cs="Tahoma"/>
                <w:b/>
                <w:bCs/>
                <w:color w:val="333333"/>
                <w:lang w:eastAsia="en-IN"/>
              </w:rPr>
            </w:pPr>
            <w:r w:rsidRPr="00FC6708">
              <w:rPr>
                <w:rFonts w:ascii="Tahoma" w:eastAsia="Times New Roman" w:hAnsi="Tahoma" w:cs="Tahoma"/>
                <w:lang w:eastAsia="en-IN"/>
              </w:rPr>
              <w:t>2017-18</w:t>
            </w:r>
          </w:p>
        </w:tc>
      </w:tr>
      <w:tr w:rsidR="002909A1" w:rsidRPr="00A4209F" w14:paraId="73525947" w14:textId="77777777" w:rsidTr="003A4C13">
        <w:trPr>
          <w:trHeight w:val="458"/>
        </w:trPr>
        <w:tc>
          <w:tcPr>
            <w:tcW w:w="999" w:type="pct"/>
            <w:vAlign w:val="center"/>
          </w:tcPr>
          <w:p w14:paraId="602D156D" w14:textId="77777777" w:rsidR="002909A1" w:rsidRPr="00FC6708" w:rsidRDefault="002909A1" w:rsidP="003A4C13">
            <w:pPr>
              <w:jc w:val="center"/>
              <w:rPr>
                <w:rFonts w:ascii="Tahoma" w:eastAsia="Times New Roman" w:hAnsi="Tahoma" w:cs="Tahoma"/>
                <w:color w:val="9932CC"/>
                <w:lang w:eastAsia="en-IN"/>
              </w:rPr>
            </w:pPr>
            <w:r w:rsidRPr="00FC6708">
              <w:rPr>
                <w:rFonts w:ascii="Tahoma" w:eastAsia="Times New Roman" w:hAnsi="Tahoma" w:cs="Tahoma"/>
                <w:color w:val="9932CC"/>
                <w:lang w:eastAsia="en-IN"/>
              </w:rPr>
              <w:t>26</w:t>
            </w:r>
          </w:p>
        </w:tc>
        <w:tc>
          <w:tcPr>
            <w:tcW w:w="1000" w:type="pct"/>
            <w:vAlign w:val="center"/>
          </w:tcPr>
          <w:p w14:paraId="3C9BCEA4" w14:textId="77777777" w:rsidR="002909A1" w:rsidRPr="00FC6708" w:rsidRDefault="002909A1" w:rsidP="003A4C13">
            <w:pPr>
              <w:jc w:val="center"/>
              <w:rPr>
                <w:rFonts w:ascii="Tahoma" w:eastAsia="Times New Roman" w:hAnsi="Tahoma" w:cs="Tahoma"/>
                <w:color w:val="9932CC"/>
                <w:lang w:eastAsia="en-IN"/>
              </w:rPr>
            </w:pPr>
            <w:r w:rsidRPr="00FC6708">
              <w:rPr>
                <w:rFonts w:ascii="Tahoma" w:eastAsia="Times New Roman" w:hAnsi="Tahoma" w:cs="Tahoma"/>
                <w:color w:val="9932CC"/>
                <w:lang w:eastAsia="en-IN"/>
              </w:rPr>
              <w:t>5</w:t>
            </w:r>
          </w:p>
        </w:tc>
        <w:tc>
          <w:tcPr>
            <w:tcW w:w="1000" w:type="pct"/>
            <w:vAlign w:val="center"/>
          </w:tcPr>
          <w:p w14:paraId="40532D77" w14:textId="77777777" w:rsidR="002909A1" w:rsidRPr="00FC6708" w:rsidRDefault="002909A1" w:rsidP="003A4C13">
            <w:pPr>
              <w:jc w:val="center"/>
              <w:rPr>
                <w:rFonts w:ascii="Tahoma" w:eastAsia="Times New Roman" w:hAnsi="Tahoma" w:cs="Tahoma"/>
                <w:color w:val="9932CC"/>
                <w:lang w:eastAsia="en-IN"/>
              </w:rPr>
            </w:pPr>
            <w:r w:rsidRPr="00FC6708">
              <w:rPr>
                <w:rFonts w:ascii="Tahoma" w:eastAsia="Times New Roman" w:hAnsi="Tahoma" w:cs="Tahoma"/>
                <w:color w:val="9932CC"/>
                <w:lang w:eastAsia="en-IN"/>
              </w:rPr>
              <w:t>6</w:t>
            </w:r>
          </w:p>
        </w:tc>
        <w:tc>
          <w:tcPr>
            <w:tcW w:w="1000" w:type="pct"/>
            <w:vAlign w:val="center"/>
          </w:tcPr>
          <w:p w14:paraId="5203F76F" w14:textId="77777777" w:rsidR="002909A1" w:rsidRPr="00FC6708" w:rsidRDefault="002909A1" w:rsidP="003A4C13">
            <w:pPr>
              <w:jc w:val="center"/>
              <w:rPr>
                <w:rFonts w:ascii="Tahoma" w:eastAsia="Times New Roman" w:hAnsi="Tahoma" w:cs="Tahoma"/>
                <w:color w:val="9932CC"/>
                <w:lang w:eastAsia="en-IN"/>
              </w:rPr>
            </w:pPr>
            <w:r w:rsidRPr="00FC6708">
              <w:rPr>
                <w:rFonts w:ascii="Tahoma" w:eastAsia="Times New Roman" w:hAnsi="Tahoma" w:cs="Tahoma"/>
                <w:color w:val="9932CC"/>
                <w:lang w:eastAsia="en-IN"/>
              </w:rPr>
              <w:t>15</w:t>
            </w:r>
          </w:p>
        </w:tc>
        <w:tc>
          <w:tcPr>
            <w:tcW w:w="1000" w:type="pct"/>
            <w:vAlign w:val="center"/>
          </w:tcPr>
          <w:p w14:paraId="7D3848EB" w14:textId="77777777" w:rsidR="002909A1" w:rsidRPr="00FC6708" w:rsidRDefault="002909A1" w:rsidP="003A4C13">
            <w:pPr>
              <w:jc w:val="center"/>
              <w:rPr>
                <w:rFonts w:ascii="Tahoma" w:eastAsia="Times New Roman" w:hAnsi="Tahoma" w:cs="Tahoma"/>
                <w:color w:val="9932CC"/>
                <w:lang w:eastAsia="en-IN"/>
              </w:rPr>
            </w:pPr>
            <w:r w:rsidRPr="00FC6708">
              <w:rPr>
                <w:rFonts w:ascii="Tahoma" w:eastAsia="Times New Roman" w:hAnsi="Tahoma" w:cs="Tahoma"/>
                <w:color w:val="9932CC"/>
                <w:lang w:eastAsia="en-IN"/>
              </w:rPr>
              <w:t>4</w:t>
            </w:r>
          </w:p>
        </w:tc>
      </w:tr>
    </w:tbl>
    <w:p w14:paraId="3937E703" w14:textId="77777777" w:rsidR="00A4209F" w:rsidRDefault="00A4209F" w:rsidP="009F49E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60520F" w14:paraId="3017979A" w14:textId="77777777" w:rsidTr="003A4C13">
        <w:trPr>
          <w:trHeight w:val="464"/>
        </w:trPr>
        <w:tc>
          <w:tcPr>
            <w:tcW w:w="4470" w:type="dxa"/>
            <w:vAlign w:val="center"/>
          </w:tcPr>
          <w:p w14:paraId="74DBEA33" w14:textId="77777777" w:rsidR="0060520F" w:rsidRPr="003A4C13" w:rsidRDefault="0060520F" w:rsidP="008D6CF8">
            <w:pPr>
              <w:jc w:val="center"/>
              <w:rPr>
                <w:b/>
                <w:bCs/>
              </w:rPr>
            </w:pPr>
            <w:r w:rsidRPr="003A4C13">
              <w:rPr>
                <w:b/>
                <w:bCs/>
              </w:rPr>
              <w:t>DVV CLARIFICATIONS</w:t>
            </w:r>
          </w:p>
        </w:tc>
        <w:tc>
          <w:tcPr>
            <w:tcW w:w="4470" w:type="dxa"/>
            <w:vAlign w:val="center"/>
          </w:tcPr>
          <w:p w14:paraId="33B489CF" w14:textId="77777777" w:rsidR="0060520F" w:rsidRPr="003A4C13" w:rsidRDefault="0060520F" w:rsidP="008D6CF8">
            <w:pPr>
              <w:jc w:val="center"/>
              <w:rPr>
                <w:b/>
                <w:bCs/>
              </w:rPr>
            </w:pPr>
            <w:r w:rsidRPr="003A4C13">
              <w:rPr>
                <w:b/>
                <w:bCs/>
              </w:rPr>
              <w:t>HEI RESPONSE</w:t>
            </w:r>
          </w:p>
        </w:tc>
      </w:tr>
      <w:tr w:rsidR="00A4209F" w:rsidRPr="00D53CAF" w14:paraId="0A5596FF" w14:textId="77777777" w:rsidTr="003A4C13">
        <w:trPr>
          <w:trHeight w:val="1277"/>
        </w:trPr>
        <w:tc>
          <w:tcPr>
            <w:tcW w:w="4470" w:type="dxa"/>
            <w:vAlign w:val="center"/>
          </w:tcPr>
          <w:p w14:paraId="204D10E1" w14:textId="77777777" w:rsidR="002909A1" w:rsidRPr="00D53CAF" w:rsidRDefault="008D37DE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 xml:space="preserve">1. </w:t>
            </w:r>
            <w:r w:rsidR="002909A1" w:rsidRPr="00D53CAF">
              <w:rPr>
                <w:rFonts w:eastAsia="Times New Roman" w:cstheme="minorHAnsi"/>
                <w:color w:val="333333"/>
                <w:lang w:eastAsia="en-IN"/>
              </w:rPr>
              <w:t xml:space="preserve">Provide the consolidated List of activities conducted under each MoU along with dates of starting and completion year-wise signed by </w:t>
            </w:r>
          </w:p>
          <w:p w14:paraId="1095999D" w14:textId="737EF691" w:rsidR="002909A1" w:rsidRPr="00D53CAF" w:rsidRDefault="002909A1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 xml:space="preserve">both parties. </w:t>
            </w:r>
          </w:p>
        </w:tc>
        <w:tc>
          <w:tcPr>
            <w:tcW w:w="4470" w:type="dxa"/>
            <w:vAlign w:val="center"/>
          </w:tcPr>
          <w:p w14:paraId="75279394" w14:textId="77777777" w:rsidR="00A4209F" w:rsidRPr="00D53CAF" w:rsidRDefault="006A5F69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>The consolidated List of activities conducted under each MoU along with dates of startin</w:t>
            </w:r>
            <w:bookmarkStart w:id="0" w:name="_GoBack"/>
            <w:bookmarkEnd w:id="0"/>
            <w:r w:rsidRPr="00D53CAF">
              <w:rPr>
                <w:rFonts w:eastAsia="Times New Roman" w:cstheme="minorHAnsi"/>
                <w:color w:val="333333"/>
                <w:lang w:eastAsia="en-IN"/>
              </w:rPr>
              <w:t xml:space="preserve">g and completion year-wise signed by both parties are provided. </w:t>
            </w:r>
          </w:p>
        </w:tc>
      </w:tr>
      <w:tr w:rsidR="00A4209F" w:rsidRPr="00D53CAF" w14:paraId="480CDE73" w14:textId="77777777" w:rsidTr="003A4C13">
        <w:trPr>
          <w:trHeight w:val="848"/>
        </w:trPr>
        <w:tc>
          <w:tcPr>
            <w:tcW w:w="4470" w:type="dxa"/>
            <w:vAlign w:val="center"/>
          </w:tcPr>
          <w:p w14:paraId="407C8662" w14:textId="676E2760" w:rsidR="00A4209F" w:rsidRPr="003A4C13" w:rsidRDefault="008D37DE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 xml:space="preserve">2. </w:t>
            </w:r>
            <w:r w:rsidR="002909A1" w:rsidRPr="00D53CAF">
              <w:rPr>
                <w:rFonts w:eastAsia="Times New Roman" w:cstheme="minorHAnsi"/>
                <w:color w:val="333333"/>
                <w:lang w:eastAsia="en-IN"/>
              </w:rPr>
              <w:t xml:space="preserve">Provide the e-copy of the MOUs with other institutions. </w:t>
            </w:r>
          </w:p>
        </w:tc>
        <w:tc>
          <w:tcPr>
            <w:tcW w:w="4470" w:type="dxa"/>
            <w:vAlign w:val="center"/>
          </w:tcPr>
          <w:p w14:paraId="3097BBD0" w14:textId="07E98491" w:rsidR="00A4209F" w:rsidRPr="003A4C13" w:rsidRDefault="00210E2D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>The e-copy of the MOUs with other institutions</w:t>
            </w:r>
            <w:r w:rsidR="001B04D8" w:rsidRPr="00D53CAF">
              <w:rPr>
                <w:rFonts w:eastAsia="Times New Roman" w:cstheme="minorHAnsi"/>
                <w:color w:val="333333"/>
                <w:lang w:eastAsia="en-IN"/>
              </w:rPr>
              <w:t xml:space="preserve"> are provided</w:t>
            </w:r>
            <w:r w:rsidRPr="00D53CAF">
              <w:rPr>
                <w:rFonts w:eastAsia="Times New Roman" w:cstheme="minorHAnsi"/>
                <w:color w:val="333333"/>
                <w:lang w:eastAsia="en-IN"/>
              </w:rPr>
              <w:t xml:space="preserve">. </w:t>
            </w:r>
          </w:p>
        </w:tc>
      </w:tr>
      <w:tr w:rsidR="008D37DE" w:rsidRPr="00D53CAF" w14:paraId="6A6DA91F" w14:textId="77777777" w:rsidTr="003A4C13">
        <w:trPr>
          <w:trHeight w:val="848"/>
        </w:trPr>
        <w:tc>
          <w:tcPr>
            <w:tcW w:w="4470" w:type="dxa"/>
            <w:vAlign w:val="center"/>
          </w:tcPr>
          <w:p w14:paraId="5BEBAE33" w14:textId="04666645" w:rsidR="008D37DE" w:rsidRPr="00D53CAF" w:rsidRDefault="008D37DE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>3.</w:t>
            </w:r>
            <w:r w:rsidR="002909A1" w:rsidRPr="00D53CAF">
              <w:rPr>
                <w:rFonts w:eastAsia="Times New Roman" w:cstheme="minorHAnsi"/>
                <w:color w:val="333333"/>
                <w:lang w:eastAsia="en-IN"/>
              </w:rPr>
              <w:t xml:space="preserve"> Provide the summary of the collaboration indicating start date, end date, nature of collaboration etc. </w:t>
            </w:r>
          </w:p>
        </w:tc>
        <w:tc>
          <w:tcPr>
            <w:tcW w:w="4470" w:type="dxa"/>
            <w:vAlign w:val="center"/>
          </w:tcPr>
          <w:p w14:paraId="7CCD48C5" w14:textId="77777777" w:rsidR="008D37DE" w:rsidRPr="00D53CAF" w:rsidRDefault="001B04D8" w:rsidP="003A4C13">
            <w:pPr>
              <w:rPr>
                <w:rFonts w:cstheme="minorHAnsi"/>
                <w:b/>
                <w:bCs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>The summary of the collaboration indicating start date, end date, nature of collaboration etc. are provided.</w:t>
            </w:r>
          </w:p>
        </w:tc>
      </w:tr>
      <w:tr w:rsidR="002909A1" w:rsidRPr="00D53CAF" w14:paraId="6A71C9D0" w14:textId="77777777" w:rsidTr="003A4C13">
        <w:trPr>
          <w:trHeight w:val="848"/>
        </w:trPr>
        <w:tc>
          <w:tcPr>
            <w:tcW w:w="4470" w:type="dxa"/>
            <w:vAlign w:val="center"/>
          </w:tcPr>
          <w:p w14:paraId="292CA833" w14:textId="0F066BE8" w:rsidR="00D53CAF" w:rsidRPr="00D53CAF" w:rsidRDefault="002909A1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>4. Provide the consolidated List of year wise activities and exchange should be provided</w:t>
            </w:r>
            <w:r w:rsidR="00D53CAF">
              <w:rPr>
                <w:rFonts w:eastAsia="Times New Roman" w:cstheme="minorHAnsi"/>
                <w:color w:val="333333"/>
                <w:lang w:eastAsia="en-IN"/>
              </w:rPr>
              <w:t>.</w:t>
            </w:r>
          </w:p>
        </w:tc>
        <w:tc>
          <w:tcPr>
            <w:tcW w:w="4470" w:type="dxa"/>
            <w:vAlign w:val="center"/>
          </w:tcPr>
          <w:p w14:paraId="0F45238E" w14:textId="68C6004D" w:rsidR="00D53CAF" w:rsidRPr="00D53CAF" w:rsidRDefault="001B04D8" w:rsidP="003A4C13">
            <w:pPr>
              <w:rPr>
                <w:rFonts w:eastAsia="Times New Roman" w:cstheme="minorHAnsi"/>
                <w:color w:val="333333"/>
                <w:lang w:eastAsia="en-IN"/>
              </w:rPr>
            </w:pPr>
            <w:r w:rsidRPr="00D53CAF">
              <w:rPr>
                <w:rFonts w:eastAsia="Times New Roman" w:cstheme="minorHAnsi"/>
                <w:color w:val="333333"/>
                <w:lang w:eastAsia="en-IN"/>
              </w:rPr>
              <w:t>The consolidated List of year wise activities and exchange are provided</w:t>
            </w:r>
            <w:r w:rsidR="00D53CAF">
              <w:rPr>
                <w:rFonts w:eastAsia="Times New Roman" w:cstheme="minorHAnsi"/>
                <w:color w:val="333333"/>
                <w:lang w:eastAsia="en-IN"/>
              </w:rPr>
              <w:t>.</w:t>
            </w:r>
          </w:p>
        </w:tc>
      </w:tr>
    </w:tbl>
    <w:p w14:paraId="2A58187D" w14:textId="77777777" w:rsidR="0060520F" w:rsidRDefault="0060520F" w:rsidP="003A4C13">
      <w:pPr>
        <w:spacing w:after="0" w:line="240" w:lineRule="auto"/>
        <w:rPr>
          <w:b/>
          <w:bCs/>
          <w:sz w:val="24"/>
          <w:szCs w:val="24"/>
        </w:rPr>
      </w:pPr>
    </w:p>
    <w:p w14:paraId="24E26729" w14:textId="77777777" w:rsidR="0060520F" w:rsidRDefault="0060520F" w:rsidP="003A4C13">
      <w:pPr>
        <w:spacing w:after="120" w:line="240" w:lineRule="auto"/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LIST OF DOCUMENTS UPLOADED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760"/>
        <w:gridCol w:w="2520"/>
      </w:tblGrid>
      <w:tr w:rsidR="0060520F" w14:paraId="255FBA59" w14:textId="77777777" w:rsidTr="003A4C13">
        <w:trPr>
          <w:trHeight w:val="427"/>
        </w:trPr>
        <w:tc>
          <w:tcPr>
            <w:tcW w:w="918" w:type="dxa"/>
            <w:vAlign w:val="center"/>
          </w:tcPr>
          <w:p w14:paraId="1C9C5CC6" w14:textId="77777777" w:rsidR="0060520F" w:rsidRPr="003A4C13" w:rsidRDefault="0060520F" w:rsidP="0060520F">
            <w:pPr>
              <w:jc w:val="center"/>
              <w:rPr>
                <w:b/>
                <w:bCs/>
              </w:rPr>
            </w:pPr>
            <w:r w:rsidRPr="003A4C13">
              <w:rPr>
                <w:b/>
                <w:bCs/>
              </w:rPr>
              <w:t>S. No.</w:t>
            </w:r>
          </w:p>
        </w:tc>
        <w:tc>
          <w:tcPr>
            <w:tcW w:w="5760" w:type="dxa"/>
            <w:vAlign w:val="center"/>
          </w:tcPr>
          <w:p w14:paraId="359FD958" w14:textId="77777777" w:rsidR="0060520F" w:rsidRPr="003A4C13" w:rsidRDefault="0060520F" w:rsidP="0060520F">
            <w:pPr>
              <w:jc w:val="center"/>
              <w:rPr>
                <w:b/>
                <w:bCs/>
              </w:rPr>
            </w:pPr>
            <w:r w:rsidRPr="003A4C13">
              <w:rPr>
                <w:b/>
                <w:bCs/>
              </w:rPr>
              <w:t>PARTICULARS OF UPLOADED DOCUMENTS</w:t>
            </w:r>
          </w:p>
        </w:tc>
        <w:tc>
          <w:tcPr>
            <w:tcW w:w="2520" w:type="dxa"/>
            <w:vAlign w:val="center"/>
          </w:tcPr>
          <w:p w14:paraId="5061CE66" w14:textId="77777777" w:rsidR="0060520F" w:rsidRPr="003A4C13" w:rsidRDefault="0060520F" w:rsidP="0060520F">
            <w:pPr>
              <w:jc w:val="center"/>
              <w:rPr>
                <w:b/>
                <w:bCs/>
              </w:rPr>
            </w:pPr>
            <w:r w:rsidRPr="003A4C13">
              <w:rPr>
                <w:b/>
                <w:bCs/>
              </w:rPr>
              <w:t>LINK TO THE</w:t>
            </w:r>
          </w:p>
          <w:p w14:paraId="5337F931" w14:textId="77777777" w:rsidR="0060520F" w:rsidRPr="003A4C13" w:rsidRDefault="0060520F" w:rsidP="0060520F">
            <w:pPr>
              <w:jc w:val="center"/>
              <w:rPr>
                <w:b/>
                <w:bCs/>
              </w:rPr>
            </w:pPr>
            <w:r w:rsidRPr="003A4C13">
              <w:rPr>
                <w:b/>
                <w:bCs/>
              </w:rPr>
              <w:t>RELEVANT DOCUMENT</w:t>
            </w:r>
          </w:p>
        </w:tc>
      </w:tr>
      <w:tr w:rsidR="0060520F" w14:paraId="753498A2" w14:textId="77777777" w:rsidTr="003A4C13">
        <w:trPr>
          <w:trHeight w:val="573"/>
        </w:trPr>
        <w:tc>
          <w:tcPr>
            <w:tcW w:w="918" w:type="dxa"/>
            <w:vAlign w:val="center"/>
          </w:tcPr>
          <w:p w14:paraId="647CB13C" w14:textId="77777777" w:rsidR="0060520F" w:rsidRPr="00A4209F" w:rsidRDefault="0060520F" w:rsidP="0060520F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 w14:paraId="1EA840E3" w14:textId="77777777" w:rsidR="0060520F" w:rsidRPr="00A4209F" w:rsidRDefault="008D37DE" w:rsidP="00A42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from the Principal</w:t>
            </w:r>
          </w:p>
        </w:tc>
        <w:tc>
          <w:tcPr>
            <w:tcW w:w="2520" w:type="dxa"/>
            <w:vAlign w:val="center"/>
          </w:tcPr>
          <w:p w14:paraId="37CE0222" w14:textId="77777777" w:rsidR="0060520F" w:rsidRPr="00FC6ECF" w:rsidRDefault="00704821" w:rsidP="003A4C1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="000F25B1" w:rsidRPr="00FC6ECF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0F25B1" w14:paraId="71F139C5" w14:textId="77777777" w:rsidTr="003A4C13">
        <w:trPr>
          <w:trHeight w:val="573"/>
        </w:trPr>
        <w:tc>
          <w:tcPr>
            <w:tcW w:w="918" w:type="dxa"/>
            <w:vAlign w:val="center"/>
          </w:tcPr>
          <w:p w14:paraId="7DD06739" w14:textId="77777777" w:rsidR="000F25B1" w:rsidRPr="00A4209F" w:rsidRDefault="000F25B1" w:rsidP="000F25B1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 w14:paraId="648A5027" w14:textId="1C2BFD09" w:rsidR="000F25B1" w:rsidRPr="003A4C13" w:rsidRDefault="004F69AB" w:rsidP="000F25B1">
            <w:pP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</w:pPr>
            <w:r w:rsidRPr="004F69A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  <w:t>The consolidated List of activities conducted under each MoU along with dates of starting and completion year-wise signed by both parties are provided.</w:t>
            </w:r>
          </w:p>
        </w:tc>
        <w:tc>
          <w:tcPr>
            <w:tcW w:w="2520" w:type="dxa"/>
            <w:vAlign w:val="center"/>
          </w:tcPr>
          <w:p w14:paraId="7919E849" w14:textId="77777777" w:rsidR="000F25B1" w:rsidRPr="00FC6ECF" w:rsidRDefault="00704821" w:rsidP="003A4C1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0F25B1" w:rsidRPr="00FC6ECF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4F69AB" w14:paraId="7F116390" w14:textId="77777777" w:rsidTr="003A4C13">
        <w:trPr>
          <w:trHeight w:val="573"/>
        </w:trPr>
        <w:tc>
          <w:tcPr>
            <w:tcW w:w="918" w:type="dxa"/>
            <w:vAlign w:val="center"/>
          </w:tcPr>
          <w:p w14:paraId="4E422125" w14:textId="77777777" w:rsidR="004F69AB" w:rsidRPr="00A4209F" w:rsidRDefault="004F69AB" w:rsidP="000F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4E148DFE" w14:textId="5E970E3F" w:rsidR="004F69AB" w:rsidRPr="003A4C13" w:rsidRDefault="004F69AB" w:rsidP="00C333EC">
            <w:pP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</w:pPr>
            <w:r w:rsidRPr="004F69A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  <w:t xml:space="preserve">The e-copy of the MOUs with other institutions are provided. </w:t>
            </w:r>
          </w:p>
        </w:tc>
        <w:tc>
          <w:tcPr>
            <w:tcW w:w="2520" w:type="dxa"/>
            <w:vAlign w:val="center"/>
          </w:tcPr>
          <w:p w14:paraId="38BE7EC0" w14:textId="77777777" w:rsidR="004F69AB" w:rsidRPr="00FC6ECF" w:rsidRDefault="00704821" w:rsidP="003A4C1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="004F69AB" w:rsidRPr="00FC6ECF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4F69AB" w14:paraId="7CF621C6" w14:textId="77777777" w:rsidTr="003A4C13">
        <w:trPr>
          <w:trHeight w:val="573"/>
        </w:trPr>
        <w:tc>
          <w:tcPr>
            <w:tcW w:w="918" w:type="dxa"/>
            <w:vAlign w:val="center"/>
          </w:tcPr>
          <w:p w14:paraId="59258705" w14:textId="77777777" w:rsidR="004F69AB" w:rsidRPr="00A4209F" w:rsidRDefault="004F69AB" w:rsidP="000F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14:paraId="3F17B2E7" w14:textId="640A67C4" w:rsidR="004F69AB" w:rsidRPr="003A4C13" w:rsidRDefault="004F69AB" w:rsidP="00C333EC">
            <w:pP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</w:pPr>
            <w:r w:rsidRPr="004F69A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  <w:t>The summary of the collaboration indicating start date, end date, nature of collaboration etc. are provided.</w:t>
            </w:r>
          </w:p>
        </w:tc>
        <w:tc>
          <w:tcPr>
            <w:tcW w:w="2520" w:type="dxa"/>
            <w:vAlign w:val="center"/>
          </w:tcPr>
          <w:p w14:paraId="5DF43730" w14:textId="77777777" w:rsidR="004F69AB" w:rsidRPr="00FC6ECF" w:rsidRDefault="00704821" w:rsidP="003A4C1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0" w:history="1">
              <w:r w:rsidR="004F69AB" w:rsidRPr="00FC6ECF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4F69AB" w14:paraId="6C6DC3EA" w14:textId="77777777" w:rsidTr="003A4C13">
        <w:trPr>
          <w:trHeight w:val="573"/>
        </w:trPr>
        <w:tc>
          <w:tcPr>
            <w:tcW w:w="918" w:type="dxa"/>
            <w:vAlign w:val="center"/>
          </w:tcPr>
          <w:p w14:paraId="097A9402" w14:textId="77777777" w:rsidR="004F69AB" w:rsidRDefault="004F69AB" w:rsidP="000F2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14:paraId="24F129FA" w14:textId="5604B2A2" w:rsidR="004F69AB" w:rsidRPr="004F69AB" w:rsidRDefault="004F69AB" w:rsidP="00C333EC">
            <w:pP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</w:pPr>
            <w:r w:rsidRPr="004F69AB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  <w:t>The consolidated List of year wise activities and exchange are provided</w:t>
            </w:r>
            <w:r w:rsidR="003A4C13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2520" w:type="dxa"/>
            <w:vAlign w:val="center"/>
          </w:tcPr>
          <w:p w14:paraId="1536A53D" w14:textId="77777777" w:rsidR="004F69AB" w:rsidRPr="00FC6ECF" w:rsidRDefault="00704821" w:rsidP="003A4C13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1" w:history="1">
              <w:r w:rsidR="004F69AB" w:rsidRPr="00FC6ECF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</w:tbl>
    <w:p w14:paraId="42705CD1" w14:textId="77777777" w:rsidR="00933046" w:rsidRDefault="00933046">
      <w:pPr>
        <w:rPr>
          <w:b/>
          <w:bCs/>
          <w:sz w:val="24"/>
          <w:szCs w:val="24"/>
        </w:rPr>
      </w:pPr>
    </w:p>
    <w:sectPr w:rsidR="00933046" w:rsidSect="009F49E7">
      <w:headerReference w:type="default" r:id="rId12"/>
      <w:pgSz w:w="11906" w:h="16838"/>
      <w:pgMar w:top="1152" w:right="1440" w:bottom="1152" w:left="1440" w:header="720" w:footer="706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B4F6" w14:textId="77777777" w:rsidR="00704821" w:rsidRDefault="00704821" w:rsidP="00937204">
      <w:pPr>
        <w:spacing w:after="0" w:line="240" w:lineRule="auto"/>
      </w:pPr>
      <w:r>
        <w:separator/>
      </w:r>
    </w:p>
  </w:endnote>
  <w:endnote w:type="continuationSeparator" w:id="0">
    <w:p w14:paraId="388A1043" w14:textId="77777777" w:rsidR="00704821" w:rsidRDefault="00704821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FE9B9" w14:textId="77777777" w:rsidR="00704821" w:rsidRDefault="00704821" w:rsidP="00937204">
      <w:pPr>
        <w:spacing w:after="0" w:line="240" w:lineRule="auto"/>
      </w:pPr>
      <w:r>
        <w:separator/>
      </w:r>
    </w:p>
  </w:footnote>
  <w:footnote w:type="continuationSeparator" w:id="0">
    <w:p w14:paraId="5A8D99C8" w14:textId="77777777" w:rsidR="00704821" w:rsidRDefault="00704821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4BBA" w14:textId="77777777"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 wp14:anchorId="4277F65B" wp14:editId="0F32E504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14:paraId="2872E6E1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14:paraId="5B100414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14:paraId="107951E7" w14:textId="77777777" w:rsidR="00937204" w:rsidRPr="00937204" w:rsidRDefault="00704821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>
      <w:rPr>
        <w:b/>
        <w:bCs/>
        <w:noProof/>
        <w:color w:val="0070C0"/>
        <w:sz w:val="24"/>
        <w:szCs w:val="24"/>
        <w:lang w:eastAsia="en-IN"/>
      </w:rPr>
      <w:pict w14:anchorId="2E8889C5">
        <v:line id="Straight Connector 14" o:spid="_x0000_s2049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14:paraId="1947CE35" w14:textId="77777777" w:rsidR="00937204" w:rsidRDefault="0093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A6DCC"/>
    <w:multiLevelType w:val="hybridMultilevel"/>
    <w:tmpl w:val="604CA2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34481"/>
    <w:multiLevelType w:val="hybridMultilevel"/>
    <w:tmpl w:val="1CC62A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466"/>
    <w:rsid w:val="000F25B1"/>
    <w:rsid w:val="00136694"/>
    <w:rsid w:val="00150178"/>
    <w:rsid w:val="00173DEA"/>
    <w:rsid w:val="001B04D8"/>
    <w:rsid w:val="00202DDB"/>
    <w:rsid w:val="00210E2D"/>
    <w:rsid w:val="0025219B"/>
    <w:rsid w:val="00290805"/>
    <w:rsid w:val="002909A1"/>
    <w:rsid w:val="003A4C13"/>
    <w:rsid w:val="004F69AB"/>
    <w:rsid w:val="005A228E"/>
    <w:rsid w:val="0060520F"/>
    <w:rsid w:val="006402B8"/>
    <w:rsid w:val="006A5F69"/>
    <w:rsid w:val="006E329D"/>
    <w:rsid w:val="00704243"/>
    <w:rsid w:val="00704821"/>
    <w:rsid w:val="007C7F0A"/>
    <w:rsid w:val="008D37DE"/>
    <w:rsid w:val="008D6CF8"/>
    <w:rsid w:val="00933046"/>
    <w:rsid w:val="00937204"/>
    <w:rsid w:val="009711C1"/>
    <w:rsid w:val="009F49E7"/>
    <w:rsid w:val="00A25BD1"/>
    <w:rsid w:val="00A4209F"/>
    <w:rsid w:val="00AD4466"/>
    <w:rsid w:val="00C65292"/>
    <w:rsid w:val="00D53CAF"/>
    <w:rsid w:val="00E5328F"/>
    <w:rsid w:val="00EC7A02"/>
    <w:rsid w:val="00FC6708"/>
    <w:rsid w:val="00FC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FF7D77"/>
  <w15:docId w15:val="{1C9787CA-E732-45A8-9539-CE9716F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I/3.7.2/Consolidated%20List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III/3.7.2/Certificat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III/3.7.2/MoU_Functional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DVV/Criterion-III/3.7.2/Summary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II/3.7.2/MoU_e_Cop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Kongu Arts Collage</cp:lastModifiedBy>
  <cp:revision>61</cp:revision>
  <dcterms:created xsi:type="dcterms:W3CDTF">2023-04-27T05:46:00Z</dcterms:created>
  <dcterms:modified xsi:type="dcterms:W3CDTF">2023-05-03T09:51:00Z</dcterms:modified>
</cp:coreProperties>
</file>