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8" w:type="dxa"/>
        <w:tblInd w:w="-792" w:type="dxa"/>
        <w:tblBorders>
          <w:top w:val="nil"/>
          <w:left w:val="nil"/>
          <w:bottom w:val="nil"/>
          <w:right w:val="nil"/>
          <w:insideH w:val="nil"/>
          <w:insideV w:val="nil"/>
        </w:tblBorders>
        <w:tblLayout w:type="fixed"/>
        <w:tblLook w:val="0400" w:firstRow="0" w:lastRow="0" w:firstColumn="0" w:lastColumn="0" w:noHBand="0" w:noVBand="1"/>
      </w:tblPr>
      <w:tblGrid>
        <w:gridCol w:w="9818"/>
      </w:tblGrid>
      <w:tr w:rsidR="006E6994" w14:paraId="48B72709" w14:textId="77777777" w:rsidTr="002F7BF9">
        <w:trPr>
          <w:cantSplit/>
          <w:trHeight w:val="373"/>
          <w:tblHeader/>
        </w:trPr>
        <w:tc>
          <w:tcPr>
            <w:tcW w:w="9818" w:type="dxa"/>
            <w:vAlign w:val="center"/>
          </w:tcPr>
          <w:p w14:paraId="6D4344E6" w14:textId="77777777" w:rsidR="006E6994" w:rsidRPr="002F7BF9" w:rsidRDefault="002F7BF9" w:rsidP="002F7BF9">
            <w:pPr>
              <w:spacing w:after="0"/>
              <w:jc w:val="center"/>
              <w:rPr>
                <w:rFonts w:ascii="Verdana" w:eastAsia="Verdana" w:hAnsi="Verdana" w:cs="Verdana"/>
                <w:sz w:val="28"/>
                <w:szCs w:val="28"/>
              </w:rPr>
            </w:pPr>
            <w:r>
              <w:rPr>
                <w:noProof/>
                <w:bdr w:val="none" w:sz="0" w:space="0" w:color="auto" w:frame="1"/>
                <w:lang w:val="en-US"/>
              </w:rPr>
              <w:drawing>
                <wp:anchor distT="0" distB="0" distL="114300" distR="114300" simplePos="0" relativeHeight="251658240" behindDoc="0" locked="0" layoutInCell="1" allowOverlap="1" wp14:anchorId="048F8EDA" wp14:editId="1267ED55">
                  <wp:simplePos x="1400175" y="914400"/>
                  <wp:positionH relativeFrom="margin">
                    <wp:posOffset>264795</wp:posOffset>
                  </wp:positionH>
                  <wp:positionV relativeFrom="margin">
                    <wp:posOffset>-190500</wp:posOffset>
                  </wp:positionV>
                  <wp:extent cx="685800" cy="571500"/>
                  <wp:effectExtent l="19050" t="0" r="0" b="0"/>
                  <wp:wrapSquare wrapText="bothSides"/>
                  <wp:docPr id="1" name="Picture 1" descr="logo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1"/>
                          <pic:cNvPicPr>
                            <a:picLocks noChangeAspect="1" noChangeArrowheads="1"/>
                          </pic:cNvPicPr>
                        </pic:nvPicPr>
                        <pic:blipFill>
                          <a:blip r:embed="rId7"/>
                          <a:srcRect/>
                          <a:stretch>
                            <a:fillRect/>
                          </a:stretch>
                        </pic:blipFill>
                        <pic:spPr bwMode="auto">
                          <a:xfrm>
                            <a:off x="0" y="0"/>
                            <a:ext cx="685800" cy="571500"/>
                          </a:xfrm>
                          <a:prstGeom prst="rect">
                            <a:avLst/>
                          </a:prstGeom>
                          <a:noFill/>
                          <a:ln w="9525">
                            <a:noFill/>
                            <a:miter lim="800000"/>
                            <a:headEnd/>
                            <a:tailEnd/>
                          </a:ln>
                        </pic:spPr>
                      </pic:pic>
                    </a:graphicData>
                  </a:graphic>
                </wp:anchor>
              </w:drawing>
            </w:r>
            <w:r>
              <w:rPr>
                <w:rFonts w:ascii="Verdana" w:eastAsia="Verdana" w:hAnsi="Verdana" w:cs="Verdana"/>
                <w:b/>
                <w:sz w:val="28"/>
                <w:szCs w:val="28"/>
              </w:rPr>
              <w:t xml:space="preserve">  </w:t>
            </w:r>
            <w:r w:rsidR="006E6994">
              <w:rPr>
                <w:rFonts w:ascii="Verdana" w:eastAsia="Verdana" w:hAnsi="Verdana" w:cs="Verdana"/>
                <w:b/>
                <w:sz w:val="28"/>
                <w:szCs w:val="28"/>
              </w:rPr>
              <w:t>KONGU ARTS AND SCIENCE COLLEGE</w:t>
            </w:r>
          </w:p>
        </w:tc>
      </w:tr>
      <w:tr w:rsidR="006E6994" w14:paraId="350EE99E" w14:textId="77777777" w:rsidTr="002F7BF9">
        <w:trPr>
          <w:cantSplit/>
          <w:trHeight w:val="373"/>
          <w:tblHeader/>
        </w:trPr>
        <w:tc>
          <w:tcPr>
            <w:tcW w:w="9818" w:type="dxa"/>
            <w:vAlign w:val="center"/>
          </w:tcPr>
          <w:p w14:paraId="35616B4C" w14:textId="77777777" w:rsidR="006E6994" w:rsidRDefault="002F7BF9" w:rsidP="002F7BF9">
            <w:pPr>
              <w:spacing w:after="0"/>
              <w:jc w:val="center"/>
              <w:rPr>
                <w:rFonts w:ascii="Verdana" w:eastAsia="Verdana" w:hAnsi="Verdana" w:cs="Verdana"/>
                <w:b/>
                <w:sz w:val="18"/>
                <w:szCs w:val="18"/>
              </w:rPr>
            </w:pPr>
            <w:r>
              <w:rPr>
                <w:rFonts w:ascii="Verdana" w:eastAsia="Verdana" w:hAnsi="Verdana" w:cs="Verdana"/>
                <w:b/>
                <w:sz w:val="18"/>
                <w:szCs w:val="18"/>
              </w:rPr>
              <w:t xml:space="preserve">                      </w:t>
            </w:r>
            <w:r w:rsidR="008F6501">
              <w:rPr>
                <w:rFonts w:ascii="Verdana" w:eastAsia="Verdana" w:hAnsi="Verdana" w:cs="Verdana"/>
                <w:b/>
                <w:sz w:val="18"/>
                <w:szCs w:val="18"/>
              </w:rPr>
              <w:t xml:space="preserve">      </w:t>
            </w:r>
            <w:r>
              <w:rPr>
                <w:rFonts w:ascii="Verdana" w:eastAsia="Verdana" w:hAnsi="Verdana" w:cs="Verdana"/>
                <w:b/>
                <w:sz w:val="18"/>
                <w:szCs w:val="18"/>
              </w:rPr>
              <w:t>(</w:t>
            </w:r>
            <w:r w:rsidR="006E6994">
              <w:rPr>
                <w:rFonts w:ascii="Verdana" w:eastAsia="Verdana" w:hAnsi="Verdana" w:cs="Verdana"/>
                <w:b/>
                <w:sz w:val="18"/>
                <w:szCs w:val="18"/>
              </w:rPr>
              <w:t xml:space="preserve">An Autonomous Institution, Affiliated to </w:t>
            </w:r>
            <w:proofErr w:type="spellStart"/>
            <w:r w:rsidR="006E6994">
              <w:rPr>
                <w:rFonts w:ascii="Verdana" w:eastAsia="Verdana" w:hAnsi="Verdana" w:cs="Verdana"/>
                <w:b/>
                <w:sz w:val="18"/>
                <w:szCs w:val="18"/>
              </w:rPr>
              <w:t>Bharathiar</w:t>
            </w:r>
            <w:proofErr w:type="spellEnd"/>
            <w:r w:rsidR="006E6994">
              <w:rPr>
                <w:rFonts w:ascii="Verdana" w:eastAsia="Verdana" w:hAnsi="Verdana" w:cs="Verdana"/>
                <w:b/>
                <w:sz w:val="18"/>
                <w:szCs w:val="18"/>
              </w:rPr>
              <w:t xml:space="preserve"> University, Coimbatore)</w:t>
            </w:r>
          </w:p>
          <w:p w14:paraId="755E1314" w14:textId="77777777" w:rsidR="002F7BF9" w:rsidRDefault="002F7BF9" w:rsidP="002F7BF9">
            <w:pPr>
              <w:spacing w:after="0"/>
              <w:jc w:val="center"/>
              <w:rPr>
                <w:rFonts w:ascii="Verdana" w:eastAsia="Verdana" w:hAnsi="Verdana" w:cs="Verdana"/>
                <w:b/>
                <w:sz w:val="18"/>
                <w:szCs w:val="18"/>
              </w:rPr>
            </w:pPr>
          </w:p>
        </w:tc>
      </w:tr>
    </w:tbl>
    <w:p w14:paraId="182515E9" w14:textId="77777777" w:rsidR="002F7BF9" w:rsidRDefault="002F7BF9" w:rsidP="002F7BF9">
      <w:pPr>
        <w:spacing w:after="0" w:line="240" w:lineRule="auto"/>
        <w:rPr>
          <w:rFonts w:ascii="Times New Roman" w:eastAsia="Times New Roman" w:hAnsi="Times New Roman" w:cs="Times New Roman"/>
          <w:sz w:val="28"/>
          <w:szCs w:val="28"/>
        </w:rPr>
      </w:pPr>
    </w:p>
    <w:p w14:paraId="61C6585F" w14:textId="77777777" w:rsidR="006E6994" w:rsidRDefault="006E6994" w:rsidP="006E69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 Institutional Values and Social Responsibilities </w:t>
      </w:r>
    </w:p>
    <w:p w14:paraId="11390E5B" w14:textId="77777777" w:rsidR="006E6994" w:rsidRDefault="006E6994" w:rsidP="006E69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 Measures initiated by the Institution for the promotion of gender equity during the last five years.</w:t>
      </w:r>
    </w:p>
    <w:p w14:paraId="54E8645E" w14:textId="77777777" w:rsidR="006E6994" w:rsidRDefault="006E6994" w:rsidP="006E69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GENDER EQUITY</w:t>
      </w:r>
    </w:p>
    <w:p w14:paraId="725F4389" w14:textId="77777777" w:rsidR="006E6994" w:rsidRDefault="006E6994"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deals with the formation of habits of human beings. If so, we need education seriously to focus on promoting the equal participation of women and men in making decisions; reducing enrolment gap between women’s and men’s access; giving equality in learning process, educational outcomes and external results; and providing equal benefits for both sexes.</w:t>
      </w:r>
    </w:p>
    <w:p w14:paraId="4BAED35C" w14:textId="1D02934F" w:rsidR="006E6994" w:rsidRDefault="00465FF7"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04362B">
        <w:rPr>
          <w:rFonts w:ascii="Times New Roman" w:eastAsia="Times New Roman" w:hAnsi="Times New Roman" w:cs="Times New Roman"/>
          <w:sz w:val="24"/>
          <w:szCs w:val="24"/>
        </w:rPr>
        <w:t xml:space="preserve">our institution, </w:t>
      </w:r>
      <w:r w:rsidR="006E6994">
        <w:rPr>
          <w:rFonts w:ascii="Times New Roman" w:eastAsia="Times New Roman" w:hAnsi="Times New Roman" w:cs="Times New Roman"/>
          <w:sz w:val="24"/>
          <w:szCs w:val="24"/>
        </w:rPr>
        <w:t>equal r</w:t>
      </w:r>
      <w:r>
        <w:rPr>
          <w:rFonts w:ascii="Times New Roman" w:eastAsia="Times New Roman" w:hAnsi="Times New Roman" w:cs="Times New Roman"/>
          <w:sz w:val="24"/>
          <w:szCs w:val="24"/>
        </w:rPr>
        <w:t>epresentation in academic and a</w:t>
      </w:r>
      <w:r w:rsidR="006E6994">
        <w:rPr>
          <w:rFonts w:ascii="Times New Roman" w:eastAsia="Times New Roman" w:hAnsi="Times New Roman" w:cs="Times New Roman"/>
          <w:sz w:val="24"/>
          <w:szCs w:val="24"/>
        </w:rPr>
        <w:t xml:space="preserve">dministrative responsibilities </w:t>
      </w:r>
      <w:r>
        <w:rPr>
          <w:rFonts w:ascii="Times New Roman" w:eastAsia="Times New Roman" w:hAnsi="Times New Roman" w:cs="Times New Roman"/>
          <w:sz w:val="24"/>
          <w:szCs w:val="24"/>
        </w:rPr>
        <w:t>is given to</w:t>
      </w:r>
      <w:r w:rsidR="006E6994">
        <w:rPr>
          <w:rFonts w:ascii="Times New Roman" w:eastAsia="Times New Roman" w:hAnsi="Times New Roman" w:cs="Times New Roman"/>
          <w:sz w:val="24"/>
          <w:szCs w:val="24"/>
        </w:rPr>
        <w:t xml:space="preserve"> women in vario</w:t>
      </w:r>
      <w:r>
        <w:rPr>
          <w:rFonts w:ascii="Times New Roman" w:eastAsia="Times New Roman" w:hAnsi="Times New Roman" w:cs="Times New Roman"/>
          <w:sz w:val="24"/>
          <w:szCs w:val="24"/>
        </w:rPr>
        <w:t xml:space="preserve">us portfolios </w:t>
      </w:r>
      <w:r w:rsidR="00E76C89">
        <w:rPr>
          <w:rFonts w:ascii="Times New Roman" w:eastAsia="Times New Roman" w:hAnsi="Times New Roman" w:cs="Times New Roman"/>
          <w:sz w:val="24"/>
          <w:szCs w:val="24"/>
        </w:rPr>
        <w:t>including National</w:t>
      </w:r>
      <w:r w:rsidR="00416196">
        <w:rPr>
          <w:rFonts w:ascii="Times New Roman" w:eastAsia="Times New Roman" w:hAnsi="Times New Roman" w:cs="Times New Roman"/>
          <w:sz w:val="24"/>
          <w:szCs w:val="24"/>
        </w:rPr>
        <w:t xml:space="preserve"> </w:t>
      </w:r>
      <w:r w:rsidR="006E699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adet </w:t>
      </w:r>
      <w:r w:rsidR="006E6994">
        <w:rPr>
          <w:rFonts w:ascii="Times New Roman" w:eastAsia="Times New Roman" w:hAnsi="Times New Roman" w:cs="Times New Roman"/>
          <w:sz w:val="24"/>
          <w:szCs w:val="24"/>
        </w:rPr>
        <w:t>C</w:t>
      </w:r>
      <w:r>
        <w:rPr>
          <w:rFonts w:ascii="Times New Roman" w:eastAsia="Times New Roman" w:hAnsi="Times New Roman" w:cs="Times New Roman"/>
          <w:sz w:val="24"/>
          <w:szCs w:val="24"/>
        </w:rPr>
        <w:t>orps</w:t>
      </w:r>
      <w:r w:rsidR="006E6994">
        <w:rPr>
          <w:rFonts w:ascii="Times New Roman" w:eastAsia="Times New Roman" w:hAnsi="Times New Roman" w:cs="Times New Roman"/>
          <w:sz w:val="24"/>
          <w:szCs w:val="24"/>
        </w:rPr>
        <w:t>, N</w:t>
      </w:r>
      <w:r>
        <w:rPr>
          <w:rFonts w:ascii="Times New Roman" w:eastAsia="Times New Roman" w:hAnsi="Times New Roman" w:cs="Times New Roman"/>
          <w:sz w:val="24"/>
          <w:szCs w:val="24"/>
        </w:rPr>
        <w:t xml:space="preserve">ational </w:t>
      </w:r>
      <w:r w:rsidR="006E699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ervice </w:t>
      </w:r>
      <w:r w:rsidR="006E6994">
        <w:rPr>
          <w:rFonts w:ascii="Times New Roman" w:eastAsia="Times New Roman" w:hAnsi="Times New Roman" w:cs="Times New Roman"/>
          <w:sz w:val="24"/>
          <w:szCs w:val="24"/>
        </w:rPr>
        <w:t>S</w:t>
      </w:r>
      <w:r>
        <w:rPr>
          <w:rFonts w:ascii="Times New Roman" w:eastAsia="Times New Roman" w:hAnsi="Times New Roman" w:cs="Times New Roman"/>
          <w:sz w:val="24"/>
          <w:szCs w:val="24"/>
        </w:rPr>
        <w:t>cheme</w:t>
      </w:r>
      <w:r w:rsidR="006E6994">
        <w:rPr>
          <w:rFonts w:ascii="Times New Roman" w:eastAsia="Times New Roman" w:hAnsi="Times New Roman" w:cs="Times New Roman"/>
          <w:sz w:val="24"/>
          <w:szCs w:val="24"/>
        </w:rPr>
        <w:t xml:space="preserve">, Sports, Clubs Deans, </w:t>
      </w:r>
      <w:proofErr w:type="spellStart"/>
      <w:r w:rsidR="006E6994">
        <w:rPr>
          <w:rFonts w:ascii="Times New Roman" w:eastAsia="Times New Roman" w:hAnsi="Times New Roman" w:cs="Times New Roman"/>
          <w:sz w:val="24"/>
          <w:szCs w:val="24"/>
        </w:rPr>
        <w:t>HoDs</w:t>
      </w:r>
      <w:proofErr w:type="spellEnd"/>
      <w:r w:rsidR="006E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6E6994">
        <w:rPr>
          <w:rFonts w:ascii="Times New Roman" w:eastAsia="Times New Roman" w:hAnsi="Times New Roman" w:cs="Times New Roman"/>
          <w:sz w:val="24"/>
          <w:szCs w:val="24"/>
        </w:rPr>
        <w:t xml:space="preserve">Career </w:t>
      </w:r>
      <w:r w:rsidR="00E76C89">
        <w:rPr>
          <w:rFonts w:ascii="Times New Roman" w:eastAsia="Times New Roman" w:hAnsi="Times New Roman" w:cs="Times New Roman"/>
          <w:sz w:val="24"/>
          <w:szCs w:val="24"/>
        </w:rPr>
        <w:t>Guidance and Counselling Cell</w:t>
      </w:r>
      <w:r w:rsidR="00416196">
        <w:rPr>
          <w:rFonts w:ascii="Times New Roman" w:eastAsia="Times New Roman" w:hAnsi="Times New Roman" w:cs="Times New Roman"/>
          <w:sz w:val="24"/>
          <w:szCs w:val="24"/>
        </w:rPr>
        <w:t xml:space="preserve"> apart from being the Faculty members.</w:t>
      </w:r>
    </w:p>
    <w:p w14:paraId="0CEF3C2E" w14:textId="77777777" w:rsidR="006E6994" w:rsidRDefault="006E6994" w:rsidP="00465FF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SENSITIZATION OF GENDER EQUITY</w:t>
      </w:r>
    </w:p>
    <w:p w14:paraId="50E45653" w14:textId="75CA52CD" w:rsidR="006E6994" w:rsidRDefault="006E6994"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institution has initiated several measures in gender equity &amp; sensitization in curricular can be seen from the courses introduced by the institution such as Gender Studies for the Undergraduate students in the III Semester</w:t>
      </w:r>
      <w:r w:rsidR="00836CE0">
        <w:rPr>
          <w:rFonts w:ascii="Times New Roman" w:eastAsia="Times New Roman" w:hAnsi="Times New Roman" w:cs="Times New Roman"/>
          <w:sz w:val="24"/>
          <w:szCs w:val="24"/>
        </w:rPr>
        <w:t>. T</w:t>
      </w:r>
      <w:r>
        <w:rPr>
          <w:rFonts w:ascii="Times New Roman" w:eastAsia="Times New Roman" w:hAnsi="Times New Roman" w:cs="Times New Roman"/>
          <w:sz w:val="24"/>
          <w:szCs w:val="24"/>
        </w:rPr>
        <w:t>he Department of English has included courses like Gender &amp; Literature, Subaltern Studies, Feministic Literature have been included in the PG Programme. Courses like Gender Studies have been taught to Tamil Literature students. The Department of MBA is offering an add-on certificate course on Human Rights Education that includes a paper on Human Rights of Women and also offers a course on Women Entrepreneurship and Ethics from the Academic Year 2021 - 2022 onwards.</w:t>
      </w:r>
    </w:p>
    <w:p w14:paraId="62D08F08" w14:textId="6DD774F6" w:rsidR="006E6994" w:rsidRDefault="006E6994"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institution promotes gender sensitization through co-curricular activities like workshops, seminars, guest lectures, poster exhibitions, </w:t>
      </w:r>
      <w:r w:rsidR="00A21029">
        <w:rPr>
          <w:rFonts w:ascii="Times New Roman" w:eastAsia="Times New Roman" w:hAnsi="Times New Roman" w:cs="Times New Roman"/>
          <w:sz w:val="24"/>
          <w:szCs w:val="24"/>
        </w:rPr>
        <w:t>counselling that</w:t>
      </w:r>
      <w:r>
        <w:rPr>
          <w:rFonts w:ascii="Times New Roman" w:eastAsia="Times New Roman" w:hAnsi="Times New Roman" w:cs="Times New Roman"/>
          <w:sz w:val="24"/>
          <w:szCs w:val="24"/>
        </w:rPr>
        <w:t xml:space="preserve"> includes activities such as Cancer Awareness Programme, Menstrual Hygiene, Yoga </w:t>
      </w:r>
      <w:proofErr w:type="spellStart"/>
      <w:r>
        <w:rPr>
          <w:rFonts w:ascii="Times New Roman" w:eastAsia="Times New Roman" w:hAnsi="Times New Roman" w:cs="Times New Roman"/>
          <w:sz w:val="24"/>
          <w:szCs w:val="24"/>
        </w:rPr>
        <w:t>Progarmme</w:t>
      </w:r>
      <w:proofErr w:type="spellEnd"/>
      <w:r>
        <w:rPr>
          <w:rFonts w:ascii="Times New Roman" w:eastAsia="Times New Roman" w:hAnsi="Times New Roman" w:cs="Times New Roman"/>
          <w:sz w:val="24"/>
          <w:szCs w:val="24"/>
        </w:rPr>
        <w:t xml:space="preserve">, Legal Rights of women, Prevention of Violence against Women and Revelation of Legal Provisions, Workshop </w:t>
      </w:r>
      <w:r>
        <w:rPr>
          <w:rFonts w:ascii="Times New Roman" w:eastAsia="Times New Roman" w:hAnsi="Times New Roman" w:cs="Times New Roman"/>
          <w:sz w:val="24"/>
          <w:szCs w:val="24"/>
        </w:rPr>
        <w:lastRenderedPageBreak/>
        <w:t xml:space="preserve">on Gender Sensitization and Prevention of Child Sexual Abuse and Gender Equality, Bias and </w:t>
      </w:r>
      <w:proofErr w:type="spellStart"/>
      <w:r>
        <w:rPr>
          <w:rFonts w:ascii="Times New Roman" w:eastAsia="Times New Roman" w:hAnsi="Times New Roman" w:cs="Times New Roman"/>
          <w:sz w:val="24"/>
          <w:szCs w:val="24"/>
        </w:rPr>
        <w:t>Stereotytpe</w:t>
      </w:r>
      <w:proofErr w:type="spellEnd"/>
      <w:r>
        <w:rPr>
          <w:rFonts w:ascii="Times New Roman" w:eastAsia="Times New Roman" w:hAnsi="Times New Roman" w:cs="Times New Roman"/>
          <w:sz w:val="24"/>
          <w:szCs w:val="24"/>
        </w:rPr>
        <w:t xml:space="preserve">.  Women Development Cell and Anti-Sexual Harassment Committee serve as the principal initiatives of gender sensitization. Observations of International Women’s Day, Sister Nivedita Day, World Suicide Prevention Day, International Yoga Day and awareness Programmes on Legal Rights of Women are conducted annually to ensure the mental well-being among the staff members and </w:t>
      </w:r>
      <w:r w:rsidR="005F08C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students.</w:t>
      </w:r>
    </w:p>
    <w:p w14:paraId="760C20C9" w14:textId="0E241D3B" w:rsidR="006E6994" w:rsidRDefault="006E6994"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college campus is under CCTV surveillance to ensure the safety measures of the students. Awareness and Training Programme on “Self-Defence Techniques (Martial Arts) to Female Students and Female </w:t>
      </w:r>
      <w:r w:rsidR="00EF121E">
        <w:rPr>
          <w:rFonts w:ascii="Times New Roman" w:eastAsia="Times New Roman" w:hAnsi="Times New Roman" w:cs="Times New Roman"/>
          <w:sz w:val="24"/>
          <w:szCs w:val="24"/>
        </w:rPr>
        <w:t>Staff Members</w:t>
      </w:r>
      <w:r>
        <w:rPr>
          <w:rFonts w:ascii="Times New Roman" w:eastAsia="Times New Roman" w:hAnsi="Times New Roman" w:cs="Times New Roman"/>
          <w:sz w:val="24"/>
          <w:szCs w:val="24"/>
        </w:rPr>
        <w:t xml:space="preserve"> </w:t>
      </w:r>
      <w:r w:rsidR="00836CE0">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given at the beginning of every academic year.</w:t>
      </w:r>
    </w:p>
    <w:p w14:paraId="4A52BB07" w14:textId="0504C2DB" w:rsidR="006E6994" w:rsidRDefault="006E6994" w:rsidP="00112FB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effective counselling cell of the college and ward system in the departments provides psychological support to </w:t>
      </w:r>
      <w:r w:rsidR="00FE5C69">
        <w:rPr>
          <w:rFonts w:ascii="Times New Roman" w:eastAsia="Times New Roman" w:hAnsi="Times New Roman" w:cs="Times New Roman"/>
          <w:sz w:val="24"/>
          <w:szCs w:val="24"/>
        </w:rPr>
        <w:t>all the</w:t>
      </w:r>
      <w:r>
        <w:rPr>
          <w:rFonts w:ascii="Times New Roman" w:eastAsia="Times New Roman" w:hAnsi="Times New Roman" w:cs="Times New Roman"/>
          <w:sz w:val="24"/>
          <w:szCs w:val="24"/>
        </w:rPr>
        <w:t xml:space="preserve"> students</w:t>
      </w:r>
      <w:r w:rsidR="00E76C89">
        <w:rPr>
          <w:rFonts w:ascii="Times New Roman" w:eastAsia="Times New Roman" w:hAnsi="Times New Roman" w:cs="Times New Roman"/>
          <w:sz w:val="24"/>
          <w:szCs w:val="24"/>
        </w:rPr>
        <w:t xml:space="preserve"> through One</w:t>
      </w:r>
      <w:r w:rsidR="00836CE0">
        <w:rPr>
          <w:rFonts w:ascii="Times New Roman" w:eastAsia="Times New Roman" w:hAnsi="Times New Roman" w:cs="Times New Roman"/>
          <w:sz w:val="24"/>
          <w:szCs w:val="24"/>
        </w:rPr>
        <w:t>-</w:t>
      </w:r>
      <w:r w:rsidR="00E76C89">
        <w:rPr>
          <w:rFonts w:ascii="Times New Roman" w:eastAsia="Times New Roman" w:hAnsi="Times New Roman" w:cs="Times New Roman"/>
          <w:sz w:val="24"/>
          <w:szCs w:val="24"/>
        </w:rPr>
        <w:t>to</w:t>
      </w:r>
      <w:r w:rsidR="00836CE0">
        <w:rPr>
          <w:rFonts w:ascii="Times New Roman" w:eastAsia="Times New Roman" w:hAnsi="Times New Roman" w:cs="Times New Roman"/>
          <w:sz w:val="24"/>
          <w:szCs w:val="24"/>
        </w:rPr>
        <w:t>-O</w:t>
      </w:r>
      <w:r w:rsidR="00E76C89">
        <w:rPr>
          <w:rFonts w:ascii="Times New Roman" w:eastAsia="Times New Roman" w:hAnsi="Times New Roman" w:cs="Times New Roman"/>
          <w:sz w:val="24"/>
          <w:szCs w:val="24"/>
        </w:rPr>
        <w:t xml:space="preserve">ne and group counselling.  </w:t>
      </w:r>
      <w:r>
        <w:rPr>
          <w:rFonts w:ascii="Times New Roman" w:eastAsia="Times New Roman" w:hAnsi="Times New Roman" w:cs="Times New Roman"/>
          <w:sz w:val="24"/>
          <w:szCs w:val="24"/>
        </w:rPr>
        <w:t>Counselling activities include individual and group counselling. It helps them to achieve academic goals, social and personality development</w:t>
      </w:r>
      <w:r w:rsidR="00EF121E">
        <w:rPr>
          <w:rFonts w:ascii="Times New Roman" w:eastAsia="Times New Roman" w:hAnsi="Times New Roman" w:cs="Times New Roman"/>
          <w:sz w:val="24"/>
          <w:szCs w:val="24"/>
        </w:rPr>
        <w:t>.</w:t>
      </w:r>
    </w:p>
    <w:p w14:paraId="62DDC6B2" w14:textId="77777777" w:rsidR="006E6994" w:rsidRDefault="00D820F1"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provided with </w:t>
      </w:r>
      <w:r w:rsidR="006E6994">
        <w:rPr>
          <w:rFonts w:ascii="Times New Roman" w:eastAsia="Times New Roman" w:hAnsi="Times New Roman" w:cs="Times New Roman"/>
          <w:sz w:val="24"/>
          <w:szCs w:val="24"/>
        </w:rPr>
        <w:t>Common Rooms</w:t>
      </w:r>
      <w:r>
        <w:rPr>
          <w:rFonts w:ascii="Times New Roman" w:eastAsia="Times New Roman" w:hAnsi="Times New Roman" w:cs="Times New Roman"/>
          <w:sz w:val="24"/>
          <w:szCs w:val="24"/>
        </w:rPr>
        <w:t xml:space="preserve"> to utilize during the leisure time</w:t>
      </w:r>
      <w:r w:rsidR="006E6994">
        <w:rPr>
          <w:rFonts w:ascii="Times New Roman" w:eastAsia="Times New Roman" w:hAnsi="Times New Roman" w:cs="Times New Roman"/>
          <w:sz w:val="24"/>
          <w:szCs w:val="24"/>
        </w:rPr>
        <w:t>. Ladies Lounge has been allotted for the girls to take rest if they feel inconvenient during their sickness. In the Ladies Lounge three cots and an induction for hot water preparation have been provided for the students. Students are provided with clean atmosphere inside the Lounge.</w:t>
      </w:r>
    </w:p>
    <w:p w14:paraId="711C7B9E" w14:textId="1D3CD862" w:rsidR="006E6994" w:rsidRDefault="006E6994"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Kongu Day Care Centre was established with the safe and convenient environment provided beyond comparison well within their reach. Children in the age range of 2 to 5 years are admitted here. The centre functions from 09:00 a.m. to 04:00 p.m. on all working days of the Institution. The Day care centre </w:t>
      </w:r>
      <w:r w:rsidR="00836CE0">
        <w:rPr>
          <w:rFonts w:ascii="Times New Roman" w:eastAsia="Times New Roman" w:hAnsi="Times New Roman" w:cs="Times New Roman"/>
          <w:sz w:val="24"/>
          <w:szCs w:val="24"/>
        </w:rPr>
        <w:t xml:space="preserve">for kids </w:t>
      </w:r>
      <w:r>
        <w:rPr>
          <w:rFonts w:ascii="Times New Roman" w:eastAsia="Times New Roman" w:hAnsi="Times New Roman" w:cs="Times New Roman"/>
          <w:sz w:val="24"/>
          <w:szCs w:val="24"/>
        </w:rPr>
        <w:t>has two wide rooms for dining and activity rooms for playing and sleeping</w:t>
      </w:r>
      <w:bookmarkStart w:id="0" w:name="_GoBack"/>
      <w:bookmarkEnd w:id="0"/>
      <w:r>
        <w:rPr>
          <w:rFonts w:ascii="Times New Roman" w:eastAsia="Times New Roman" w:hAnsi="Times New Roman" w:cs="Times New Roman"/>
          <w:sz w:val="24"/>
          <w:szCs w:val="24"/>
        </w:rPr>
        <w:t xml:space="preserve">. </w:t>
      </w:r>
    </w:p>
    <w:p w14:paraId="6CBF5E3F" w14:textId="77777777" w:rsidR="006E6994" w:rsidRDefault="006E6994" w:rsidP="00465FF7">
      <w:pPr>
        <w:spacing w:line="360" w:lineRule="auto"/>
      </w:pPr>
    </w:p>
    <w:sectPr w:rsidR="006E6994" w:rsidSect="00A265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C355A" w14:textId="77777777" w:rsidR="00DD1F1A" w:rsidRDefault="00DD1F1A" w:rsidP="006E6994">
      <w:pPr>
        <w:spacing w:after="0" w:line="240" w:lineRule="auto"/>
      </w:pPr>
      <w:r>
        <w:separator/>
      </w:r>
    </w:p>
  </w:endnote>
  <w:endnote w:type="continuationSeparator" w:id="0">
    <w:p w14:paraId="07877908" w14:textId="77777777" w:rsidR="00DD1F1A" w:rsidRDefault="00DD1F1A" w:rsidP="006E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8A76D" w14:textId="77777777" w:rsidR="00DD1F1A" w:rsidRDefault="00DD1F1A" w:rsidP="006E6994">
      <w:pPr>
        <w:spacing w:after="0" w:line="240" w:lineRule="auto"/>
      </w:pPr>
      <w:r>
        <w:separator/>
      </w:r>
    </w:p>
  </w:footnote>
  <w:footnote w:type="continuationSeparator" w:id="0">
    <w:p w14:paraId="0394D5CA" w14:textId="77777777" w:rsidR="00DD1F1A" w:rsidRDefault="00DD1F1A" w:rsidP="006E6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7A7"/>
    <w:multiLevelType w:val="multilevel"/>
    <w:tmpl w:val="82E4E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6994"/>
    <w:rsid w:val="0004362B"/>
    <w:rsid w:val="00112E42"/>
    <w:rsid w:val="00112FB3"/>
    <w:rsid w:val="001B182E"/>
    <w:rsid w:val="002F7BF9"/>
    <w:rsid w:val="00416196"/>
    <w:rsid w:val="00465FF7"/>
    <w:rsid w:val="005F08C5"/>
    <w:rsid w:val="006436A9"/>
    <w:rsid w:val="006E6994"/>
    <w:rsid w:val="00836CE0"/>
    <w:rsid w:val="008F6501"/>
    <w:rsid w:val="009D0210"/>
    <w:rsid w:val="00A21029"/>
    <w:rsid w:val="00A26556"/>
    <w:rsid w:val="00AA045D"/>
    <w:rsid w:val="00B239DC"/>
    <w:rsid w:val="00B735F6"/>
    <w:rsid w:val="00B877AC"/>
    <w:rsid w:val="00C87BD0"/>
    <w:rsid w:val="00D820F1"/>
    <w:rsid w:val="00DD1F1A"/>
    <w:rsid w:val="00E76C89"/>
    <w:rsid w:val="00EF121E"/>
    <w:rsid w:val="00FE5C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D26A"/>
  <w15:docId w15:val="{0E13F5B3-156D-4E5C-8E33-D061113A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94"/>
    <w:rPr>
      <w:rFonts w:ascii="Calibri" w:eastAsia="Calibri"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69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994"/>
  </w:style>
  <w:style w:type="paragraph" w:styleId="Footer">
    <w:name w:val="footer"/>
    <w:basedOn w:val="Normal"/>
    <w:link w:val="FooterChar"/>
    <w:uiPriority w:val="99"/>
    <w:semiHidden/>
    <w:unhideWhenUsed/>
    <w:rsid w:val="006E69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6994"/>
  </w:style>
  <w:style w:type="paragraph" w:styleId="BalloonText">
    <w:name w:val="Balloon Text"/>
    <w:basedOn w:val="Normal"/>
    <w:link w:val="BalloonTextChar"/>
    <w:uiPriority w:val="99"/>
    <w:semiHidden/>
    <w:unhideWhenUsed/>
    <w:rsid w:val="002F7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BF9"/>
    <w:rPr>
      <w:rFonts w:ascii="Tahoma" w:eastAsia="Calibri"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englab</dc:creator>
  <cp:lastModifiedBy>Kongu Arts Collage</cp:lastModifiedBy>
  <cp:revision>4</cp:revision>
  <cp:lastPrinted>2023-02-18T09:34:00Z</cp:lastPrinted>
  <dcterms:created xsi:type="dcterms:W3CDTF">2023-02-23T05:46:00Z</dcterms:created>
  <dcterms:modified xsi:type="dcterms:W3CDTF">2023-02-27T09:49:00Z</dcterms:modified>
</cp:coreProperties>
</file>