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F88" w:rsidRPr="008565EB" w:rsidRDefault="008565EB" w:rsidP="008565EB">
      <w:pPr>
        <w:pStyle w:val="ListParagraph"/>
        <w:spacing w:after="0" w:line="360" w:lineRule="auto"/>
        <w:ind w:left="162"/>
        <w:jc w:val="both"/>
        <w:rPr>
          <w:rFonts w:ascii="Times New Roman" w:hAnsi="Times New Roman" w:cs="Times New Roman"/>
          <w:b/>
          <w:sz w:val="24"/>
          <w:szCs w:val="24"/>
        </w:rPr>
      </w:pPr>
      <w:proofErr w:type="gramStart"/>
      <w:r w:rsidRPr="008565EB">
        <w:rPr>
          <w:rFonts w:ascii="Times New Roman" w:hAnsi="Times New Roman" w:cs="Times New Roman"/>
          <w:b/>
          <w:sz w:val="24"/>
          <w:szCs w:val="24"/>
        </w:rPr>
        <w:t>7.1.1</w:t>
      </w:r>
      <w:r w:rsidR="008E6F88" w:rsidRPr="008565EB">
        <w:rPr>
          <w:rFonts w:ascii="Times New Roman" w:hAnsi="Times New Roman" w:cs="Times New Roman"/>
          <w:b/>
          <w:sz w:val="24"/>
          <w:szCs w:val="24"/>
        </w:rPr>
        <w:t xml:space="preserve"> </w:t>
      </w:r>
      <w:r w:rsidR="008E6F88" w:rsidRPr="008565EB">
        <w:rPr>
          <w:rFonts w:ascii="Times New Roman" w:hAnsi="Times New Roman" w:cs="Times New Roman"/>
          <w:b/>
          <w:i/>
          <w:sz w:val="24"/>
          <w:szCs w:val="24"/>
        </w:rPr>
        <w:t xml:space="preserve"> </w:t>
      </w:r>
      <w:r w:rsidR="008E6F88" w:rsidRPr="008565EB">
        <w:rPr>
          <w:rFonts w:ascii="Times New Roman" w:hAnsi="Times New Roman" w:cs="Times New Roman"/>
          <w:b/>
          <w:sz w:val="24"/>
          <w:szCs w:val="24"/>
        </w:rPr>
        <w:t>Measures</w:t>
      </w:r>
      <w:proofErr w:type="gramEnd"/>
      <w:r w:rsidR="008E6F88" w:rsidRPr="008565EB">
        <w:rPr>
          <w:rFonts w:ascii="Times New Roman" w:hAnsi="Times New Roman" w:cs="Times New Roman"/>
          <w:b/>
          <w:sz w:val="24"/>
          <w:szCs w:val="24"/>
        </w:rPr>
        <w:t xml:space="preserve"> initiated by the Institution for the promotion of gender equity during the last five years.</w:t>
      </w:r>
    </w:p>
    <w:p w:rsidR="008565EB" w:rsidRPr="008565EB" w:rsidRDefault="008565EB" w:rsidP="008565EB">
      <w:pPr>
        <w:spacing w:after="0" w:line="360" w:lineRule="auto"/>
        <w:jc w:val="both"/>
        <w:rPr>
          <w:rFonts w:ascii="Times New Roman" w:hAnsi="Times New Roman" w:cs="Times New Roman"/>
          <w:sz w:val="24"/>
          <w:szCs w:val="24"/>
        </w:rPr>
      </w:pPr>
    </w:p>
    <w:p w:rsidR="008E6F88" w:rsidRPr="008565EB" w:rsidRDefault="008E6F88" w:rsidP="008565EB">
      <w:pPr>
        <w:spacing w:after="0" w:line="360" w:lineRule="auto"/>
        <w:jc w:val="both"/>
        <w:rPr>
          <w:rFonts w:ascii="Times New Roman" w:hAnsi="Times New Roman" w:cs="Times New Roman"/>
          <w:sz w:val="24"/>
          <w:szCs w:val="24"/>
        </w:rPr>
      </w:pPr>
      <w:r w:rsidRPr="008565EB">
        <w:rPr>
          <w:rFonts w:ascii="Times New Roman" w:hAnsi="Times New Roman" w:cs="Times New Roman"/>
          <w:sz w:val="24"/>
          <w:szCs w:val="24"/>
        </w:rPr>
        <w:t xml:space="preserve">          The Women Development Cell was started on 17</w:t>
      </w:r>
      <w:r w:rsidRPr="008565EB">
        <w:rPr>
          <w:rFonts w:ascii="Times New Roman" w:hAnsi="Times New Roman" w:cs="Times New Roman"/>
          <w:sz w:val="24"/>
          <w:szCs w:val="24"/>
          <w:vertAlign w:val="superscript"/>
        </w:rPr>
        <w:t>th</w:t>
      </w:r>
      <w:r w:rsidRPr="008565EB">
        <w:rPr>
          <w:rFonts w:ascii="Times New Roman" w:hAnsi="Times New Roman" w:cs="Times New Roman"/>
          <w:sz w:val="24"/>
          <w:szCs w:val="24"/>
        </w:rPr>
        <w:t xml:space="preserve"> July 2002. The overall objective of the cell is to strengthen the priorities of women’s needs and interests, to make them self reliant and Stimulate an environment for empowerment of women. Yoga &amp; Meditation Programme was organized by the cell to the girl students and faculty members.  </w:t>
      </w:r>
    </w:p>
    <w:p w:rsidR="008565EB" w:rsidRPr="008565EB" w:rsidRDefault="008565EB" w:rsidP="008565EB">
      <w:pPr>
        <w:spacing w:after="0" w:line="360" w:lineRule="auto"/>
        <w:jc w:val="both"/>
        <w:rPr>
          <w:rFonts w:ascii="Times New Roman" w:hAnsi="Times New Roman" w:cs="Times New Roman"/>
          <w:sz w:val="24"/>
          <w:szCs w:val="24"/>
        </w:rPr>
      </w:pPr>
    </w:p>
    <w:p w:rsidR="008E6F88" w:rsidRPr="008565EB" w:rsidRDefault="008E6F88" w:rsidP="008565EB">
      <w:pPr>
        <w:spacing w:after="0" w:line="360" w:lineRule="auto"/>
        <w:ind w:firstLine="720"/>
        <w:jc w:val="both"/>
        <w:rPr>
          <w:rFonts w:ascii="Times New Roman" w:hAnsi="Times New Roman" w:cs="Times New Roman"/>
          <w:sz w:val="24"/>
          <w:szCs w:val="24"/>
        </w:rPr>
      </w:pPr>
      <w:r w:rsidRPr="008565EB">
        <w:rPr>
          <w:rFonts w:ascii="Times New Roman" w:hAnsi="Times New Roman" w:cs="Times New Roman"/>
          <w:sz w:val="24"/>
          <w:szCs w:val="24"/>
        </w:rPr>
        <w:t>The Prevention of Sexual Harassment of Women Committee has been constituted to take all the necessary measures to ensure safety and dignity of the women in the Campus. The committee meets once in a year and also during emergency (if any) to discuss about the grievances of women and to take preventive measures and activities during the academic year. The committee also imparts awareness among the women staff and students regarding the protection of Human Rights, especially women’s right.</w:t>
      </w:r>
    </w:p>
    <w:p w:rsidR="008565EB" w:rsidRPr="008565EB" w:rsidRDefault="008565EB" w:rsidP="008565EB">
      <w:pPr>
        <w:spacing w:after="0" w:line="360" w:lineRule="auto"/>
        <w:ind w:firstLine="720"/>
        <w:jc w:val="both"/>
        <w:rPr>
          <w:rFonts w:ascii="Times New Roman" w:hAnsi="Times New Roman" w:cs="Times New Roman"/>
          <w:sz w:val="24"/>
          <w:szCs w:val="24"/>
        </w:rPr>
      </w:pPr>
    </w:p>
    <w:p w:rsidR="008565EB" w:rsidRPr="008565EB" w:rsidRDefault="008E6F88" w:rsidP="008565EB">
      <w:pPr>
        <w:spacing w:after="0" w:line="360" w:lineRule="auto"/>
        <w:ind w:firstLine="720"/>
        <w:jc w:val="both"/>
        <w:rPr>
          <w:rFonts w:ascii="Times New Roman" w:hAnsi="Times New Roman" w:cs="Times New Roman"/>
          <w:sz w:val="24"/>
          <w:szCs w:val="24"/>
        </w:rPr>
      </w:pPr>
      <w:r w:rsidRPr="008565EB">
        <w:rPr>
          <w:rFonts w:ascii="Times New Roman" w:hAnsi="Times New Roman" w:cs="Times New Roman"/>
          <w:sz w:val="24"/>
          <w:szCs w:val="24"/>
        </w:rPr>
        <w:t>Every year, the committee provides an Awareness and Training Programme on “Self-</w:t>
      </w:r>
      <w:proofErr w:type="spellStart"/>
      <w:r w:rsidRPr="008565EB">
        <w:rPr>
          <w:rFonts w:ascii="Times New Roman" w:hAnsi="Times New Roman" w:cs="Times New Roman"/>
          <w:sz w:val="24"/>
          <w:szCs w:val="24"/>
        </w:rPr>
        <w:t>Defence</w:t>
      </w:r>
      <w:proofErr w:type="spellEnd"/>
      <w:r w:rsidRPr="008565EB">
        <w:rPr>
          <w:rFonts w:ascii="Times New Roman" w:hAnsi="Times New Roman" w:cs="Times New Roman"/>
          <w:sz w:val="24"/>
          <w:szCs w:val="24"/>
        </w:rPr>
        <w:t xml:space="preserve"> Techniques (Martial Arts) to </w:t>
      </w:r>
      <w:proofErr w:type="gramStart"/>
      <w:r w:rsidRPr="008565EB">
        <w:rPr>
          <w:rFonts w:ascii="Times New Roman" w:hAnsi="Times New Roman" w:cs="Times New Roman"/>
          <w:sz w:val="24"/>
          <w:szCs w:val="24"/>
        </w:rPr>
        <w:t xml:space="preserve">the </w:t>
      </w:r>
      <w:r w:rsidR="008565EB" w:rsidRPr="008565EB">
        <w:rPr>
          <w:rFonts w:ascii="Times New Roman" w:hAnsi="Times New Roman" w:cs="Times New Roman"/>
          <w:sz w:val="24"/>
          <w:szCs w:val="24"/>
        </w:rPr>
        <w:t xml:space="preserve"> </w:t>
      </w:r>
      <w:r w:rsidRPr="008565EB">
        <w:rPr>
          <w:rFonts w:ascii="Times New Roman" w:hAnsi="Times New Roman" w:cs="Times New Roman"/>
          <w:sz w:val="24"/>
          <w:szCs w:val="24"/>
        </w:rPr>
        <w:t>I</w:t>
      </w:r>
      <w:proofErr w:type="gramEnd"/>
      <w:r w:rsidRPr="008565EB">
        <w:rPr>
          <w:rFonts w:ascii="Times New Roman" w:hAnsi="Times New Roman" w:cs="Times New Roman"/>
          <w:sz w:val="24"/>
          <w:szCs w:val="24"/>
        </w:rPr>
        <w:t xml:space="preserve"> year Undergraduate, Post Graduate Female Students and Female Staff Members. The committee also imparts awareness on social issues such as “Handling Emotional Issues at Work Place” and “Cyber Crimes”. The Committee conducts various competitions to create awareness on “Sexual Harassment/Violence – Perception and Prevention” among the female students. </w:t>
      </w:r>
    </w:p>
    <w:p w:rsidR="008565EB" w:rsidRPr="008565EB" w:rsidRDefault="008565EB" w:rsidP="008565EB">
      <w:pPr>
        <w:spacing w:before="100" w:beforeAutospacing="1" w:after="100" w:afterAutospacing="1" w:line="360" w:lineRule="auto"/>
        <w:ind w:firstLine="1224"/>
        <w:jc w:val="both"/>
        <w:rPr>
          <w:rFonts w:ascii="Times New Roman" w:eastAsia="Times New Roman" w:hAnsi="Times New Roman" w:cs="Times New Roman"/>
          <w:sz w:val="24"/>
          <w:szCs w:val="24"/>
        </w:rPr>
      </w:pPr>
      <w:r w:rsidRPr="008565EB">
        <w:rPr>
          <w:rFonts w:ascii="Times New Roman" w:eastAsia="Times New Roman" w:hAnsi="Times New Roman" w:cs="Times New Roman"/>
          <w:sz w:val="24"/>
          <w:szCs w:val="24"/>
        </w:rPr>
        <w:t xml:space="preserve">The Internal Complaints Committee has been formed at </w:t>
      </w:r>
      <w:proofErr w:type="spellStart"/>
      <w:r w:rsidRPr="008565EB">
        <w:rPr>
          <w:rFonts w:ascii="Times New Roman" w:eastAsia="Times New Roman" w:hAnsi="Times New Roman" w:cs="Times New Roman"/>
          <w:sz w:val="24"/>
          <w:szCs w:val="24"/>
        </w:rPr>
        <w:t>Kongu</w:t>
      </w:r>
      <w:proofErr w:type="spellEnd"/>
      <w:r w:rsidRPr="008565EB">
        <w:rPr>
          <w:rFonts w:ascii="Times New Roman" w:eastAsia="Times New Roman" w:hAnsi="Times New Roman" w:cs="Times New Roman"/>
          <w:sz w:val="24"/>
          <w:szCs w:val="24"/>
        </w:rPr>
        <w:t xml:space="preserve"> Arts and Science College (Autonomous)</w:t>
      </w:r>
      <w:proofErr w:type="gramStart"/>
      <w:r w:rsidRPr="008565EB">
        <w:rPr>
          <w:rFonts w:ascii="Times New Roman" w:eastAsia="Times New Roman" w:hAnsi="Times New Roman" w:cs="Times New Roman"/>
          <w:sz w:val="24"/>
          <w:szCs w:val="24"/>
        </w:rPr>
        <w:t>,</w:t>
      </w:r>
      <w:proofErr w:type="gramEnd"/>
      <w:r w:rsidRPr="008565EB">
        <w:rPr>
          <w:rFonts w:ascii="Times New Roman" w:eastAsia="Times New Roman" w:hAnsi="Times New Roman" w:cs="Times New Roman"/>
          <w:sz w:val="24"/>
          <w:szCs w:val="24"/>
        </w:rPr>
        <w:t xml:space="preserve"> Erode to address the issues under Prevention, Prohibition and </w:t>
      </w:r>
      <w:proofErr w:type="spellStart"/>
      <w:r w:rsidRPr="008565EB">
        <w:rPr>
          <w:rFonts w:ascii="Times New Roman" w:eastAsia="Times New Roman" w:hAnsi="Times New Roman" w:cs="Times New Roman"/>
          <w:sz w:val="24"/>
          <w:szCs w:val="24"/>
        </w:rPr>
        <w:t>Redressal</w:t>
      </w:r>
      <w:proofErr w:type="spellEnd"/>
      <w:r w:rsidRPr="008565EB">
        <w:rPr>
          <w:rFonts w:ascii="Times New Roman" w:eastAsia="Times New Roman" w:hAnsi="Times New Roman" w:cs="Times New Roman"/>
          <w:sz w:val="24"/>
          <w:szCs w:val="24"/>
        </w:rPr>
        <w:t xml:space="preserve"> of Sexual Harassment of Women Employees and Students in Higher Educational Institutions Regulations, 2015. The objective of this committee is to provide protection against sexual harassment of female employees and students inside the Campus and for the prevention and </w:t>
      </w:r>
      <w:proofErr w:type="spellStart"/>
      <w:r w:rsidRPr="008565EB">
        <w:rPr>
          <w:rFonts w:ascii="Times New Roman" w:eastAsia="Times New Roman" w:hAnsi="Times New Roman" w:cs="Times New Roman"/>
          <w:sz w:val="24"/>
          <w:szCs w:val="24"/>
        </w:rPr>
        <w:t>redressal</w:t>
      </w:r>
      <w:proofErr w:type="spellEnd"/>
      <w:r w:rsidRPr="008565EB">
        <w:rPr>
          <w:rFonts w:ascii="Times New Roman" w:eastAsia="Times New Roman" w:hAnsi="Times New Roman" w:cs="Times New Roman"/>
          <w:sz w:val="24"/>
          <w:szCs w:val="24"/>
        </w:rPr>
        <w:t xml:space="preserve"> of complaints of sexual harassment and for matters connected therewith or incidental thereto.</w:t>
      </w:r>
    </w:p>
    <w:p w:rsidR="008565EB" w:rsidRPr="008565EB" w:rsidRDefault="008565EB" w:rsidP="008565EB">
      <w:pPr>
        <w:pStyle w:val="NormalWeb"/>
        <w:spacing w:line="360" w:lineRule="auto"/>
        <w:ind w:firstLine="1224"/>
        <w:jc w:val="both"/>
      </w:pPr>
    </w:p>
    <w:p w:rsidR="008565EB" w:rsidRPr="008565EB" w:rsidRDefault="008565EB" w:rsidP="008565EB">
      <w:pPr>
        <w:pStyle w:val="NormalWeb"/>
        <w:spacing w:line="360" w:lineRule="auto"/>
        <w:ind w:firstLine="1224"/>
        <w:jc w:val="both"/>
      </w:pPr>
    </w:p>
    <w:p w:rsidR="008565EB" w:rsidRPr="008565EB" w:rsidRDefault="008565EB" w:rsidP="008565EB">
      <w:pPr>
        <w:pStyle w:val="NormalWeb"/>
        <w:spacing w:line="360" w:lineRule="auto"/>
        <w:ind w:firstLine="1224"/>
        <w:jc w:val="both"/>
      </w:pPr>
    </w:p>
    <w:p w:rsidR="008565EB" w:rsidRPr="008565EB" w:rsidRDefault="008565EB" w:rsidP="008565EB">
      <w:pPr>
        <w:pStyle w:val="NormalWeb"/>
        <w:spacing w:line="360" w:lineRule="auto"/>
        <w:ind w:firstLine="1224"/>
        <w:jc w:val="both"/>
      </w:pPr>
      <w:r w:rsidRPr="008565EB">
        <w:t xml:space="preserve">The Equal Opportunity Cell has been formed in our College as per the guidelines of the University Grants Commission, New Delhi. To oversee the effective implementation of policies and programmes for disadvantaged groups, to provide guidance and </w:t>
      </w:r>
      <w:proofErr w:type="spellStart"/>
      <w:r w:rsidRPr="008565EB">
        <w:t>counselling</w:t>
      </w:r>
      <w:proofErr w:type="spellEnd"/>
      <w:r w:rsidRPr="008565EB">
        <w:t xml:space="preserve"> with respect to academic, financial, social and other matters and to enhance the diversity within the campus</w:t>
      </w:r>
    </w:p>
    <w:p w:rsidR="008565EB" w:rsidRDefault="008565EB" w:rsidP="008565EB">
      <w:pPr>
        <w:spacing w:after="0" w:line="360" w:lineRule="auto"/>
        <w:ind w:firstLine="720"/>
        <w:jc w:val="both"/>
        <w:rPr>
          <w:rFonts w:ascii="Times New Roman" w:hAnsi="Times New Roman" w:cs="Times New Roman"/>
          <w:sz w:val="24"/>
          <w:szCs w:val="24"/>
        </w:rPr>
      </w:pPr>
      <w:r w:rsidRPr="008565EB">
        <w:rPr>
          <w:rFonts w:ascii="Times New Roman" w:hAnsi="Times New Roman" w:cs="Times New Roman"/>
          <w:sz w:val="24"/>
          <w:szCs w:val="24"/>
        </w:rPr>
        <w:t xml:space="preserve">Anti-Ragging Cell should be one of the important </w:t>
      </w:r>
      <w:proofErr w:type="gramStart"/>
      <w:r w:rsidRPr="008565EB">
        <w:rPr>
          <w:rFonts w:ascii="Times New Roman" w:hAnsi="Times New Roman" w:cs="Times New Roman"/>
          <w:sz w:val="24"/>
          <w:szCs w:val="24"/>
        </w:rPr>
        <w:t>part</w:t>
      </w:r>
      <w:proofErr w:type="gramEnd"/>
      <w:r w:rsidRPr="008565EB">
        <w:rPr>
          <w:rFonts w:ascii="Times New Roman" w:hAnsi="Times New Roman" w:cs="Times New Roman"/>
          <w:sz w:val="24"/>
          <w:szCs w:val="24"/>
        </w:rPr>
        <w:t xml:space="preserve"> of Educational Institution’s mechanism. As per the guidelines of UGC under the Act of 1956, which is modified as UGC regulations on curbing the menace of Ragging in higher Educational Institutions, 2009, establishment of Anti-Ragging Cell is very compulsory</w:t>
      </w:r>
    </w:p>
    <w:p w:rsidR="008565EB" w:rsidRPr="008565EB" w:rsidRDefault="008565EB" w:rsidP="008565EB">
      <w:pPr>
        <w:spacing w:after="0" w:line="360" w:lineRule="auto"/>
        <w:ind w:firstLine="720"/>
        <w:jc w:val="both"/>
        <w:rPr>
          <w:rFonts w:ascii="Times New Roman" w:hAnsi="Times New Roman" w:cs="Times New Roman"/>
          <w:sz w:val="24"/>
          <w:szCs w:val="24"/>
        </w:rPr>
      </w:pPr>
    </w:p>
    <w:p w:rsidR="008E6F88" w:rsidRDefault="008E6F88" w:rsidP="008565EB">
      <w:pPr>
        <w:spacing w:after="0" w:line="360" w:lineRule="auto"/>
        <w:ind w:firstLine="720"/>
        <w:jc w:val="both"/>
        <w:rPr>
          <w:rFonts w:ascii="Times New Roman" w:hAnsi="Times New Roman" w:cs="Times New Roman"/>
          <w:sz w:val="24"/>
          <w:szCs w:val="24"/>
        </w:rPr>
      </w:pPr>
      <w:r w:rsidRPr="008565EB">
        <w:rPr>
          <w:rFonts w:ascii="Times New Roman" w:hAnsi="Times New Roman" w:cs="Times New Roman"/>
          <w:sz w:val="24"/>
          <w:szCs w:val="24"/>
        </w:rPr>
        <w:t>Ladies Lounge has been allotted for the girls to take complete rest if they feel inconvenient during their menstrual time and also when they have general ill health. In the Ladies Lounge two cots and an induction for hot water preparation have been provided for the students. Students are provided with clean atmosphere inside the Lounge.</w:t>
      </w:r>
    </w:p>
    <w:p w:rsidR="00FB76EA" w:rsidRPr="008565EB" w:rsidRDefault="00FB76EA" w:rsidP="008565EB">
      <w:pPr>
        <w:spacing w:after="0" w:line="360" w:lineRule="auto"/>
        <w:ind w:firstLine="720"/>
        <w:jc w:val="both"/>
        <w:rPr>
          <w:rFonts w:ascii="Times New Roman" w:hAnsi="Times New Roman" w:cs="Times New Roman"/>
          <w:sz w:val="24"/>
          <w:szCs w:val="24"/>
        </w:rPr>
      </w:pPr>
      <w:r w:rsidRPr="00FB76EA">
        <w:rPr>
          <w:rFonts w:ascii="Times New Roman" w:hAnsi="Times New Roman" w:cs="Times New Roman"/>
          <w:sz w:val="24"/>
          <w:szCs w:val="24"/>
        </w:rPr>
        <w:drawing>
          <wp:inline distT="0" distB="0" distL="0" distR="0">
            <wp:extent cx="5943600" cy="3311525"/>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5010150"/>
                      <a:chOff x="152400" y="0"/>
                      <a:chExt cx="8991600" cy="5010150"/>
                    </a:xfrm>
                  </a:grpSpPr>
                  <a:sp>
                    <a:nvSpPr>
                      <a:cNvPr id="3" name="Slide Number Placeholder 2"/>
                      <a:cNvSpPr>
                        <a:spLocks noGrp="1"/>
                      </a:cNvSpPr>
                    </a:nvSpPr>
                    <a:spPr>
                      <a:xfrm>
                        <a:off x="8557525" y="0"/>
                        <a:ext cx="434100" cy="393600"/>
                      </a:xfrm>
                      <a:prstGeom prst="rect">
                        <a:avLst/>
                      </a:prstGeom>
                      <a:noFill/>
                      <a:ln>
                        <a:noFill/>
                      </a:ln>
                    </a:spPr>
                    <a:txSp>
                      <a:txBody>
                        <a:bodyPr spcFirstLastPara="1" wrap="square" lIns="0" tIns="0" rIns="0" bIns="0" anchor="ctr" anchorCtr="0">
                          <a:noAutofit/>
                        </a:bodyPr>
                        <a:lstStyle>
                          <a:defPPr marR="0" lvl="0" algn="l" rtl="0">
                            <a:lnSpc>
                              <a:spcPct val="100000"/>
                            </a:lnSpc>
                            <a:spcBef>
                              <a:spcPts val="0"/>
                            </a:spcBef>
                            <a:spcAft>
                              <a:spcPts val="0"/>
                            </a:spcAft>
                          </a:defPPr>
                          <a:lvl1pPr marR="0" lvl="0"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1pPr>
                          <a:lvl2pPr marR="0" lvl="1"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2pPr>
                          <a:lvl3pPr marR="0" lvl="2"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3pPr>
                          <a:lvl4pPr marR="0" lvl="3"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4pPr>
                          <a:lvl5pPr marR="0" lvl="4"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5pPr>
                          <a:lvl6pPr marR="0" lvl="5"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6pPr>
                          <a:lvl7pPr marR="0" lvl="6"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7pPr>
                          <a:lvl8pPr marR="0" lvl="7"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8pPr>
                          <a:lvl9pPr marR="0" lvl="8" algn="r" rtl="0">
                            <a:lnSpc>
                              <a:spcPct val="100000"/>
                            </a:lnSpc>
                            <a:spcBef>
                              <a:spcPts val="0"/>
                            </a:spcBef>
                            <a:spcAft>
                              <a:spcPts val="0"/>
                            </a:spcAft>
                            <a:buClr>
                              <a:srgbClr val="000000"/>
                            </a:buClr>
                            <a:buFont typeface="Arial"/>
                            <a:buNone/>
                            <a:defRPr sz="1200" b="0" i="0" u="none" strike="noStrike" cap="none">
                              <a:solidFill>
                                <a:schemeClr val="dk2"/>
                              </a:solidFill>
                              <a:latin typeface="IBM Plex Sans"/>
                              <a:ea typeface="IBM Plex Sans"/>
                              <a:cs typeface="IBM Plex Sans"/>
                              <a:sym typeface="IBM Plex Sans"/>
                            </a:defRPr>
                          </a:lvl9pPr>
                        </a:lstStyle>
                        <a:p>
                          <a:pPr marL="0" lvl="0" indent="0" algn="r" rtl="0">
                            <a:spcBef>
                              <a:spcPts val="0"/>
                            </a:spcBef>
                            <a:spcAft>
                              <a:spcPts val="0"/>
                            </a:spcAft>
                            <a:buNone/>
                          </a:pPr>
                          <a:fld id="{00000000-1234-1234-1234-123412341234}" type="slidenum">
                            <a:rPr lang="en" smtClean="0"/>
                            <a:pPr marL="0" lvl="0" indent="0" algn="r" rtl="0">
                              <a:spcBef>
                                <a:spcPts val="0"/>
                              </a:spcBef>
                              <a:spcAft>
                                <a:spcPts val="0"/>
                              </a:spcAft>
                              <a:buNone/>
                            </a:pPr>
                            <a:t>17</a:t>
                          </a:fld>
                          <a:endParaRPr lang="en"/>
                        </a:p>
                      </a:txBody>
                      <a:useSpRect/>
                    </a:txSp>
                  </a:sp>
                  <a:pic>
                    <a:nvPicPr>
                      <a:cNvPr id="1026" name="Picture 2" descr="C:\Users\USER\AppData\Local\Temp\Rar$DIa0.391\womensday2@WDC.jpg"/>
                      <a:cNvPicPr>
                        <a:picLocks noChangeAspect="1" noChangeArrowheads="1"/>
                      </a:cNvPicPr>
                    </a:nvPicPr>
                    <a:blipFill>
                      <a:blip r:embed="rId4"/>
                      <a:srcRect/>
                      <a:stretch>
                        <a:fillRect/>
                      </a:stretch>
                    </a:blipFill>
                    <a:spPr bwMode="auto">
                      <a:xfrm>
                        <a:off x="152400" y="895350"/>
                        <a:ext cx="2590800" cy="2113295"/>
                      </a:xfrm>
                      <a:prstGeom prst="rect">
                        <a:avLst/>
                      </a:prstGeom>
                      <a:noFill/>
                    </a:spPr>
                  </a:pic>
                  <a:pic>
                    <a:nvPicPr>
                      <a:cNvPr id="1027" name="Picture 3" descr="C:\Users\USER\AppData\Local\Temp\Rar$DIa0.020\Womensday@WDC.jpg"/>
                      <a:cNvPicPr>
                        <a:picLocks noChangeAspect="1" noChangeArrowheads="1"/>
                      </a:cNvPicPr>
                    </a:nvPicPr>
                    <a:blipFill>
                      <a:blip r:embed="rId5"/>
                      <a:srcRect/>
                      <a:stretch>
                        <a:fillRect/>
                      </a:stretch>
                    </a:blipFill>
                    <a:spPr bwMode="auto">
                      <a:xfrm>
                        <a:off x="2971800" y="895350"/>
                        <a:ext cx="3124200" cy="2038350"/>
                      </a:xfrm>
                      <a:prstGeom prst="rect">
                        <a:avLst/>
                      </a:prstGeom>
                      <a:noFill/>
                    </a:spPr>
                  </a:pic>
                  <a:pic>
                    <a:nvPicPr>
                      <a:cNvPr id="1028" name="Picture 4" descr="C:\Users\USER\AppData\Local\Temp\Rar$DIa0.641\Healthand Hygiene@WDC.jpeg"/>
                      <a:cNvPicPr>
                        <a:picLocks noChangeAspect="1" noChangeArrowheads="1"/>
                      </a:cNvPicPr>
                    </a:nvPicPr>
                    <a:blipFill>
                      <a:blip r:embed="rId6"/>
                      <a:srcRect/>
                      <a:stretch>
                        <a:fillRect/>
                      </a:stretch>
                    </a:blipFill>
                    <a:spPr bwMode="auto">
                      <a:xfrm>
                        <a:off x="6400800" y="971550"/>
                        <a:ext cx="2743200" cy="1885950"/>
                      </a:xfrm>
                      <a:prstGeom prst="rect">
                        <a:avLst/>
                      </a:prstGeom>
                      <a:noFill/>
                    </a:spPr>
                  </a:pic>
                  <a:sp>
                    <a:nvSpPr>
                      <a:cNvPr id="8" name="TextBox 7"/>
                      <a:cNvSpPr txBox="1"/>
                    </a:nvSpPr>
                    <a:spPr>
                      <a:xfrm>
                        <a:off x="1371600" y="514350"/>
                        <a:ext cx="5791200" cy="307777"/>
                      </a:xfrm>
                      <a:prstGeom prst="rect">
                        <a:avLst/>
                      </a:prstGeom>
                      <a:noFill/>
                    </a:spPr>
                    <a:txSp>
                      <a:txBody>
                        <a:bodyPr wrap="square" rtlCol="0">
                          <a:sp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r>
                            <a:rPr lang="en-US" b="1" dirty="0" smtClean="0"/>
                            <a:t>FOOT PRINTS OF GENDER EQUITY PROGRAMMES 2020-2021</a:t>
                          </a:r>
                          <a:endParaRPr lang="en-US" b="1" dirty="0"/>
                        </a:p>
                      </a:txBody>
                      <a:useSpRect/>
                    </a:txSp>
                  </a:sp>
                  <a:sp>
                    <a:nvSpPr>
                      <a:cNvPr id="9" name="TextBox 8"/>
                      <a:cNvSpPr txBox="1"/>
                    </a:nvSpPr>
                    <a:spPr>
                      <a:xfrm>
                        <a:off x="6553200" y="2876550"/>
                        <a:ext cx="1981200" cy="307777"/>
                      </a:xfrm>
                      <a:prstGeom prst="rect">
                        <a:avLst/>
                      </a:prstGeom>
                      <a:noFill/>
                    </a:spPr>
                    <a:txSp>
                      <a:txBody>
                        <a:bodyPr wrap="square" rtlCol="0">
                          <a:sp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r>
                            <a:rPr lang="en-US" dirty="0" smtClean="0"/>
                            <a:t>Health and Hygiene</a:t>
                          </a:r>
                          <a:endParaRPr lang="en-US" dirty="0"/>
                        </a:p>
                      </a:txBody>
                      <a:useSpRect/>
                    </a:txSp>
                  </a:sp>
                  <a:sp>
                    <a:nvSpPr>
                      <a:cNvPr id="10" name="TextBox 9"/>
                      <a:cNvSpPr txBox="1"/>
                    </a:nvSpPr>
                    <a:spPr>
                      <a:xfrm>
                        <a:off x="3124200" y="2952750"/>
                        <a:ext cx="2590800" cy="307777"/>
                      </a:xfrm>
                      <a:prstGeom prst="rect">
                        <a:avLst/>
                      </a:prstGeom>
                      <a:noFill/>
                    </a:spPr>
                    <a:txSp>
                      <a:txBody>
                        <a:bodyPr wrap="square" rtlCol="0">
                          <a:sp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r>
                            <a:rPr lang="en-US" dirty="0" smtClean="0"/>
                            <a:t>Women’s Day Celebration</a:t>
                          </a:r>
                          <a:endParaRPr lang="en-US" dirty="0"/>
                        </a:p>
                      </a:txBody>
                      <a:useSpRect/>
                    </a:txSp>
                  </a:sp>
                  <a:sp>
                    <a:nvSpPr>
                      <a:cNvPr id="11" name="TextBox 10"/>
                      <a:cNvSpPr txBox="1"/>
                    </a:nvSpPr>
                    <a:spPr>
                      <a:xfrm>
                        <a:off x="304800" y="2952750"/>
                        <a:ext cx="2590800" cy="307777"/>
                      </a:xfrm>
                      <a:prstGeom prst="rect">
                        <a:avLst/>
                      </a:prstGeom>
                      <a:noFill/>
                    </a:spPr>
                    <a:txSp>
                      <a:txBody>
                        <a:bodyPr wrap="square" rtlCol="0">
                          <a:spAutoFit/>
                        </a:bodyPr>
                        <a:lstStyle>
                          <a:defPPr marR="0" lvl="0" algn="l" rtl="0">
                            <a:lnSpc>
                              <a:spcPct val="100000"/>
                            </a:lnSpc>
                            <a:spcBef>
                              <a:spcPts val="0"/>
                            </a:spcBef>
                            <a:spcAft>
                              <a:spcPts val="0"/>
                            </a:spcAft>
                          </a:defPPr>
                          <a:lvl1pPr marR="0" lvl="0"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1pPr>
                          <a:lvl2pPr marR="0" lvl="1"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2pPr>
                          <a:lvl3pPr marR="0" lvl="2"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3pPr>
                          <a:lvl4pPr marR="0" lvl="3"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4pPr>
                          <a:lvl5pPr marR="0" lvl="4"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5pPr>
                          <a:lvl6pPr marR="0" lvl="5"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6pPr>
                          <a:lvl7pPr marR="0" lvl="6"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7pPr>
                          <a:lvl8pPr marR="0" lvl="7"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8pPr>
                          <a:lvl9pPr marR="0" lvl="8" algn="l" rtl="0">
                            <a:lnSpc>
                              <a:spcPct val="100000"/>
                            </a:lnSpc>
                            <a:spcBef>
                              <a:spcPts val="0"/>
                            </a:spcBef>
                            <a:spcAft>
                              <a:spcPts val="0"/>
                            </a:spcAft>
                            <a:buClr>
                              <a:srgbClr val="000000"/>
                            </a:buClr>
                            <a:buFont typeface="Arial"/>
                            <a:defRPr sz="1400" b="0" i="0" u="none" strike="noStrike" cap="none">
                              <a:solidFill>
                                <a:srgbClr val="000000"/>
                              </a:solidFill>
                              <a:latin typeface="Arial"/>
                              <a:ea typeface="Arial"/>
                              <a:cs typeface="Arial"/>
                              <a:sym typeface="Arial"/>
                            </a:defRPr>
                          </a:lvl9pPr>
                        </a:lstStyle>
                        <a:p>
                          <a:r>
                            <a:rPr lang="en-US" dirty="0" smtClean="0"/>
                            <a:t>Women’s Day Celebration</a:t>
                          </a:r>
                          <a:endParaRPr lang="en-US" dirty="0"/>
                        </a:p>
                      </a:txBody>
                      <a:useSpRect/>
                    </a:txSp>
                  </a:sp>
                  <a:pic>
                    <a:nvPicPr>
                      <a:cNvPr id="12" name="image4.jpeg"/>
                      <a:cNvPicPr/>
                    </a:nvPicPr>
                    <a:blipFill>
                      <a:blip r:embed="rId7" cstate="print"/>
                      <a:stretch>
                        <a:fillRect/>
                      </a:stretch>
                    </a:blipFill>
                    <a:spPr>
                      <a:xfrm>
                        <a:off x="1905000" y="3257550"/>
                        <a:ext cx="5257800" cy="1752600"/>
                      </a:xfrm>
                      <a:prstGeom prst="rect">
                        <a:avLst/>
                      </a:prstGeom>
                    </a:spPr>
                  </a:pic>
                </lc:lockedCanvas>
              </a:graphicData>
            </a:graphic>
          </wp:inline>
        </w:drawing>
      </w:r>
    </w:p>
    <w:sectPr w:rsidR="00FB76EA" w:rsidRPr="008565EB" w:rsidSect="008E6F88">
      <w:pgSz w:w="12240" w:h="15840"/>
      <w:pgMar w:top="144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6F88"/>
    <w:rsid w:val="000B7389"/>
    <w:rsid w:val="001A1B7F"/>
    <w:rsid w:val="00362B53"/>
    <w:rsid w:val="006046DE"/>
    <w:rsid w:val="00771A7D"/>
    <w:rsid w:val="008565EB"/>
    <w:rsid w:val="008E6F88"/>
    <w:rsid w:val="00C33C68"/>
    <w:rsid w:val="00C43156"/>
    <w:rsid w:val="00CE24E1"/>
    <w:rsid w:val="00FA022D"/>
    <w:rsid w:val="00FB76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F88"/>
    <w:pPr>
      <w:spacing w:after="200" w:line="276" w:lineRule="auto"/>
      <w:jc w:val="left"/>
    </w:pPr>
  </w:style>
  <w:style w:type="paragraph" w:styleId="Heading4">
    <w:name w:val="heading 4"/>
    <w:basedOn w:val="Normal"/>
    <w:link w:val="Heading4Char"/>
    <w:uiPriority w:val="9"/>
    <w:qFormat/>
    <w:rsid w:val="008565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6F88"/>
    <w:pPr>
      <w:ind w:left="720"/>
      <w:contextualSpacing/>
    </w:pPr>
  </w:style>
  <w:style w:type="character" w:customStyle="1" w:styleId="Heading4Char">
    <w:name w:val="Heading 4 Char"/>
    <w:basedOn w:val="DefaultParagraphFont"/>
    <w:link w:val="Heading4"/>
    <w:uiPriority w:val="9"/>
    <w:rsid w:val="008565EB"/>
    <w:rPr>
      <w:rFonts w:ascii="Times New Roman" w:eastAsia="Times New Roman" w:hAnsi="Times New Roman" w:cs="Times New Roman"/>
      <w:b/>
      <w:bCs/>
      <w:sz w:val="24"/>
      <w:szCs w:val="24"/>
    </w:rPr>
  </w:style>
  <w:style w:type="paragraph" w:styleId="NormalWeb">
    <w:name w:val="Normal (Web)"/>
    <w:basedOn w:val="Normal"/>
    <w:uiPriority w:val="99"/>
    <w:unhideWhenUsed/>
    <w:rsid w:val="008565E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7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6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889592">
      <w:bodyDiv w:val="1"/>
      <w:marLeft w:val="0"/>
      <w:marRight w:val="0"/>
      <w:marTop w:val="0"/>
      <w:marBottom w:val="0"/>
      <w:divBdr>
        <w:top w:val="none" w:sz="0" w:space="0" w:color="auto"/>
        <w:left w:val="none" w:sz="0" w:space="0" w:color="auto"/>
        <w:bottom w:val="none" w:sz="0" w:space="0" w:color="auto"/>
        <w:right w:val="none" w:sz="0" w:space="0" w:color="auto"/>
      </w:divBdr>
    </w:div>
    <w:div w:id="56676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2021-11-20T04:34:00Z</cp:lastPrinted>
  <dcterms:created xsi:type="dcterms:W3CDTF">2021-12-07T09:28:00Z</dcterms:created>
  <dcterms:modified xsi:type="dcterms:W3CDTF">2021-12-07T10:04:00Z</dcterms:modified>
</cp:coreProperties>
</file>